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7152"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中西面点</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参编人员有王彦海、徐姣、孙英杰、吴春如、周楠等，在此表示感谢。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目 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outlineLvl w:val="0"/>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rPr>
        <w:t xml:space="preserve">一、专业名称及代码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二、入学要求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三、修业年限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四、职业面向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rPr>
        <w:t xml:space="preserve">五、接续专业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rPr>
        <w:t xml:space="preserve">（一）培养目标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 xml:space="preserve"> 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rPr>
        <w:t>（二）培养规格</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 xml:space="preserve"> 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eastAsia" w:ascii="仿宋_GB2312" w:hAnsi="仿宋_GB2312" w:eastAsia="仿宋_GB2312" w:cs="仿宋_GB2312"/>
          <w:b w:val="0"/>
          <w:bCs w:val="0"/>
          <w:spacing w:val="12"/>
          <w:sz w:val="28"/>
          <w:szCs w:val="28"/>
          <w:lang w:eastAsia="zh-CN"/>
        </w:rPr>
      </w:pPr>
      <w:r>
        <w:rPr>
          <w:rFonts w:hint="eastAsia" w:ascii="仿宋_GB2312" w:hAnsi="仿宋_GB2312" w:eastAsia="仿宋_GB2312" w:cs="仿宋_GB2312"/>
          <w:b w:val="0"/>
          <w:bCs w:val="0"/>
          <w:spacing w:val="12"/>
          <w:sz w:val="28"/>
          <w:szCs w:val="28"/>
        </w:rPr>
        <w:t xml:space="preserve">（一）公共基础课程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（二）专业（技能）课程</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1.专业基础课程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eastAsia" w:ascii="仿宋_GB2312" w:hAnsi="仿宋_GB2312" w:eastAsia="仿宋_GB2312" w:cs="仿宋_GB2312"/>
          <w:b w:val="0"/>
          <w:bCs w:val="0"/>
          <w:spacing w:val="12"/>
          <w:sz w:val="28"/>
          <w:szCs w:val="28"/>
        </w:rPr>
      </w:pPr>
      <w:r>
        <w:rPr>
          <w:rFonts w:hint="eastAsia" w:ascii="仿宋_GB2312" w:hAnsi="仿宋_GB2312" w:eastAsia="仿宋_GB2312" w:cs="仿宋_GB2312"/>
          <w:b w:val="0"/>
          <w:bCs w:val="0"/>
          <w:spacing w:val="12"/>
          <w:sz w:val="28"/>
          <w:szCs w:val="28"/>
        </w:rPr>
        <w:t xml:space="preserve">2.专业核心课程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rPr>
        <w:fldChar w:fldCharType="begin"/>
      </w:r>
      <w:r>
        <w:rPr>
          <w:rFonts w:hint="eastAsia" w:ascii="仿宋_GB2312" w:hAnsi="仿宋_GB2312" w:eastAsia="仿宋_GB2312" w:cs="仿宋_GB2312"/>
          <w:b w:val="0"/>
          <w:bCs w:val="0"/>
          <w:spacing w:val="12"/>
          <w:sz w:val="28"/>
          <w:szCs w:val="28"/>
        </w:rPr>
        <w:instrText xml:space="preserve"> HYPERLINK \l "bookmark7" </w:instrText>
      </w:r>
      <w:r>
        <w:rPr>
          <w:rFonts w:hint="eastAsia" w:ascii="仿宋_GB2312" w:hAnsi="仿宋_GB2312" w:eastAsia="仿宋_GB2312" w:cs="仿宋_GB2312"/>
          <w:b w:val="0"/>
          <w:bCs w:val="0"/>
          <w:spacing w:val="12"/>
          <w:sz w:val="28"/>
          <w:szCs w:val="28"/>
        </w:rPr>
        <w:fldChar w:fldCharType="separate"/>
      </w:r>
      <w:r>
        <w:rPr>
          <w:rFonts w:hint="eastAsia" w:ascii="仿宋_GB2312" w:hAnsi="仿宋_GB2312" w:eastAsia="仿宋_GB2312" w:cs="仿宋_GB2312"/>
          <w:b w:val="0"/>
          <w:bCs w:val="0"/>
          <w:spacing w:val="12"/>
          <w:sz w:val="28"/>
          <w:szCs w:val="28"/>
          <w:lang w:val="en-US" w:eastAsia="zh-CN"/>
        </w:rPr>
        <w:t>12</w:t>
      </w:r>
      <w:r>
        <w:rPr>
          <w:rFonts w:hint="eastAsia" w:ascii="仿宋_GB2312" w:hAnsi="仿宋_GB2312" w:eastAsia="仿宋_GB2312" w:cs="仿宋_GB2312"/>
          <w:b w:val="0"/>
          <w:bCs w:val="0"/>
          <w:spacing w:val="12"/>
          <w:sz w:val="28"/>
          <w:szCs w:val="28"/>
        </w:rPr>
        <w:fldChar w:fldCharType="end"/>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3.专业拓展课程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4.实习实训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outlineLvl w:val="0"/>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（一）基本要求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（二）教学时间安排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 xml:space="preserve"> 17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（三）教学进程安排表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18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outlineLvl w:val="0"/>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rPr>
        <w:sectPr>
          <w:headerReference r:id="rId3" w:type="default"/>
          <w:footerReference r:id="rId4" w:type="default"/>
          <w:pgSz w:w="11907" w:h="16840"/>
          <w:pgMar w:top="2041" w:right="1531" w:bottom="1985" w:left="1531" w:header="851" w:footer="1644" w:gutter="0"/>
          <w:pgNumType w:fmt="decimal" w:start="1"/>
          <w:cols w:space="425" w:num="1"/>
          <w:docGrid w:type="lines" w:linePitch="435" w:charSpace="-6554"/>
        </w:sectPr>
      </w:pP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（一）师资队伍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（二）教学设施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rPr>
        <w:t xml:space="preserve"> </w:t>
      </w:r>
      <w:r>
        <w:rPr>
          <w:rFonts w:hint="eastAsia" w:ascii="仿宋_GB2312" w:hAnsi="仿宋_GB2312" w:eastAsia="仿宋_GB2312" w:cs="仿宋_GB2312"/>
          <w:b w:val="0"/>
          <w:bCs w:val="0"/>
          <w:spacing w:val="12"/>
          <w:sz w:val="28"/>
          <w:szCs w:val="28"/>
          <w:lang w:val="en-US" w:eastAsia="zh-CN"/>
        </w:rPr>
        <w:t>24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（三）教学资源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 xml:space="preserve"> 26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（四）教学方法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（五）</w:t>
      </w:r>
      <w:r>
        <w:rPr>
          <w:rFonts w:hint="eastAsia" w:ascii="仿宋_GB2312" w:hAnsi="仿宋_GB2312" w:eastAsia="仿宋_GB2312" w:cs="仿宋_GB2312"/>
          <w:b w:val="0"/>
          <w:bCs w:val="0"/>
          <w:spacing w:val="12"/>
          <w:sz w:val="28"/>
          <w:szCs w:val="28"/>
          <w:lang w:val="en-US" w:eastAsia="zh-CN"/>
        </w:rPr>
        <w:t>学习</w:t>
      </w:r>
      <w:r>
        <w:rPr>
          <w:rFonts w:hint="eastAsia" w:ascii="仿宋_GB2312" w:hAnsi="仿宋_GB2312" w:eastAsia="仿宋_GB2312" w:cs="仿宋_GB2312"/>
          <w:b w:val="0"/>
          <w:bCs w:val="0"/>
          <w:spacing w:val="12"/>
          <w:sz w:val="28"/>
          <w:szCs w:val="28"/>
        </w:rPr>
        <w:t xml:space="preserve">评价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28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 xml:space="preserve">（六）质量管理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rPr>
        <w:t xml:space="preserve"> </w:t>
      </w:r>
      <w:r>
        <w:rPr>
          <w:rFonts w:hint="eastAsia" w:ascii="仿宋_GB2312" w:hAnsi="仿宋_GB2312" w:eastAsia="仿宋_GB2312" w:cs="仿宋_GB2312"/>
          <w:b w:val="0"/>
          <w:bCs w:val="0"/>
          <w:spacing w:val="12"/>
          <w:sz w:val="28"/>
          <w:szCs w:val="28"/>
          <w:lang w:val="en-US" w:eastAsia="zh-CN"/>
        </w:rPr>
        <w:t>29</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12"/>
          <w:sz w:val="28"/>
          <w:szCs w:val="28"/>
        </w:rPr>
        <w:t xml:space="preserve"> </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firstLine="608" w:firstLineChars="200"/>
        <w:textAlignment w:val="auto"/>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rPr>
        <w:t>（二）教学进程变更申请表</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rPr>
        <w:t xml:space="preserve"> </w:t>
      </w:r>
      <w:r>
        <w:rPr>
          <w:rFonts w:hint="eastAsia" w:ascii="仿宋_GB2312" w:hAnsi="仿宋_GB2312" w:eastAsia="仿宋_GB2312" w:cs="仿宋_GB2312"/>
          <w:b w:val="0"/>
          <w:bCs w:val="0"/>
          <w:spacing w:val="12"/>
          <w:sz w:val="28"/>
          <w:szCs w:val="28"/>
          <w:lang w:val="en-US" w:eastAsia="zh-CN"/>
        </w:rPr>
        <w:t>33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textAlignment w:val="auto"/>
        <w:outlineLvl w:val="0"/>
        <w:rPr>
          <w:rFonts w:hint="default" w:ascii="仿宋_GB2312" w:hAnsi="仿宋_GB2312" w:eastAsia="仿宋_GB2312" w:cs="仿宋_GB2312"/>
          <w:b w:val="0"/>
          <w:bCs w:val="0"/>
          <w:spacing w:val="12"/>
          <w:sz w:val="28"/>
          <w:szCs w:val="28"/>
          <w:lang w:val="en-US" w:eastAsia="zh-CN"/>
        </w:rPr>
      </w:pPr>
      <w:r>
        <w:rPr>
          <w:rFonts w:hint="eastAsia" w:ascii="仿宋_GB2312" w:hAnsi="仿宋_GB2312" w:eastAsia="仿宋_GB2312" w:cs="仿宋_GB2312"/>
          <w:b w:val="0"/>
          <w:bCs w:val="0"/>
          <w:spacing w:val="12"/>
          <w:sz w:val="28"/>
          <w:szCs w:val="28"/>
          <w:lang w:val="en-US" w:eastAsia="zh-CN"/>
        </w:rPr>
        <w:t xml:space="preserve">        十三、课程标准</w:t>
      </w:r>
      <w:r>
        <w:rPr>
          <w:rFonts w:hint="eastAsia" w:ascii="仿宋_GB2312" w:hAnsi="仿宋_GB2312" w:eastAsia="仿宋_GB2312" w:cs="仿宋_GB2312"/>
          <w:b w:val="0"/>
          <w:bCs w:val="0"/>
          <w:spacing w:val="12"/>
          <w:sz w:val="28"/>
          <w:szCs w:val="28"/>
        </w:rPr>
        <w:tab/>
      </w:r>
      <w:r>
        <w:rPr>
          <w:rFonts w:hint="eastAsia" w:ascii="仿宋_GB2312" w:hAnsi="仿宋_GB2312" w:eastAsia="仿宋_GB2312" w:cs="仿宋_GB2312"/>
          <w:b w:val="0"/>
          <w:bCs w:val="0"/>
          <w:spacing w:val="12"/>
          <w:sz w:val="28"/>
          <w:szCs w:val="28"/>
          <w:lang w:val="en-US" w:eastAsia="zh-CN"/>
        </w:rPr>
        <w:t>34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12"/>
          <w:sz w:val="28"/>
          <w:szCs w:val="28"/>
          <w:lang w:val="en-US" w:eastAsia="zh-CN"/>
        </w:rPr>
        <w:sectPr>
          <w:footerReference r:id="rId5" w:type="default"/>
          <w:pgSz w:w="11907" w:h="16840"/>
          <w:pgMar w:top="2041" w:right="1531" w:bottom="1985" w:left="1531" w:header="851" w:footer="1644" w:gutter="0"/>
          <w:pgNumType w:fmt="decimal"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outlineLvl w:val="1"/>
        <w:rPr>
          <w:rFonts w:hint="eastAsia" w:ascii="方正小标宋简体" w:hAnsi="方正小标宋简体" w:eastAsia="方正小标宋简体" w:cs="方正小标宋简体"/>
          <w:sz w:val="44"/>
          <w:szCs w:val="44"/>
        </w:rPr>
      </w:pPr>
      <w:bookmarkStart w:id="0" w:name="_Toc15321"/>
      <w:r>
        <w:rPr>
          <w:rFonts w:hint="eastAsia" w:ascii="方正小标宋简体" w:hAnsi="方正小标宋简体" w:eastAsia="方正小标宋简体" w:cs="方正小标宋简体"/>
          <w:sz w:val="44"/>
          <w:szCs w:val="44"/>
        </w:rPr>
        <w:t>中西面点专业人才培养方案</w:t>
      </w:r>
      <w:bookmarkEnd w:id="0"/>
    </w:p>
    <w:p>
      <w:pPr>
        <w:keepNext w:val="0"/>
        <w:keepLines w:val="0"/>
        <w:pageBreakBefore w:val="0"/>
        <w:widowControl w:val="0"/>
        <w:kinsoku/>
        <w:wordWrap/>
        <w:overflowPunct/>
        <w:topLinePunct w:val="0"/>
        <w:autoSpaceDE/>
        <w:autoSpaceDN/>
        <w:bidi w:val="0"/>
        <w:adjustRightInd w:val="0"/>
        <w:snapToGrid w:val="0"/>
        <w:spacing w:line="400" w:lineRule="exact"/>
        <w:ind w:firstLine="640" w:firstLineChars="200"/>
        <w:textAlignment w:val="auto"/>
        <w:outlineLvl w:val="0"/>
        <w:rPr>
          <w:rFonts w:hint="eastAsia" w:ascii="黑体" w:hAnsi="黑体" w:eastAsia="黑体" w:cs="黑体"/>
          <w:kern w:val="2"/>
          <w:sz w:val="32"/>
          <w:szCs w:val="32"/>
          <w:lang w:val="en-US" w:eastAsia="zh-CN" w:bidi="ar-SA"/>
        </w:rPr>
      </w:pPr>
      <w:bookmarkStart w:id="1" w:name="_Toc22659"/>
      <w:bookmarkStart w:id="2" w:name="_Toc31747"/>
      <w:r>
        <w:rPr>
          <w:rFonts w:hint="eastAsia" w:ascii="黑体" w:hAnsi="黑体" w:eastAsia="黑体" w:cs="黑体"/>
          <w:kern w:val="2"/>
          <w:sz w:val="32"/>
          <w:szCs w:val="32"/>
          <w:lang w:val="en-US" w:eastAsia="zh-CN" w:bidi="ar-SA"/>
        </w:rPr>
        <w:t>一、专业名称及代码</w:t>
      </w:r>
      <w:bookmarkEnd w:id="1"/>
      <w:bookmarkEnd w:id="2"/>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专业名称：中西面点</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2.专业</w:t>
      </w:r>
      <w:r>
        <w:rPr>
          <w:rFonts w:hint="eastAsia" w:ascii="仿宋_GB2312" w:hAnsi="仿宋_GB2312" w:eastAsia="仿宋_GB2312" w:cs="仿宋_GB2312"/>
          <w:sz w:val="32"/>
          <w:szCs w:val="32"/>
        </w:rPr>
        <w:t>代码：740203</w:t>
      </w:r>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3" w:name="_Toc7634"/>
      <w:bookmarkStart w:id="4" w:name="_Toc1396"/>
      <w:r>
        <w:rPr>
          <w:rFonts w:hint="eastAsia" w:ascii="黑体" w:hAnsi="黑体" w:eastAsia="黑体" w:cs="黑体"/>
          <w:sz w:val="32"/>
          <w:szCs w:val="32"/>
          <w:lang w:val="en-US" w:eastAsia="zh-CN"/>
        </w:rPr>
        <w:t>二、入学要求</w:t>
      </w:r>
      <w:bookmarkEnd w:id="3"/>
      <w:bookmarkEnd w:id="4"/>
    </w:p>
    <w:p>
      <w:pPr>
        <w:adjustRightInd w:val="0"/>
        <w:snapToGrid w:val="0"/>
        <w:spacing w:line="560" w:lineRule="exact"/>
        <w:ind w:firstLine="640" w:firstLineChars="200"/>
        <w:rPr>
          <w:rFonts w:hint="eastAsia" w:ascii="仿宋_GB2312" w:hAnsi="仿宋_GB2312" w:eastAsia="仿宋_GB2312" w:cs="仿宋_GB2312"/>
          <w:sz w:val="32"/>
          <w:szCs w:val="32"/>
        </w:rPr>
      </w:pPr>
      <w:bookmarkStart w:id="5" w:name="_Toc23732"/>
      <w:bookmarkStart w:id="6" w:name="_Toc11284"/>
      <w:bookmarkStart w:id="7" w:name="_Toc23686"/>
      <w:r>
        <w:rPr>
          <w:rFonts w:hint="eastAsia" w:ascii="仿宋_GB2312" w:hAnsi="仿宋_GB2312" w:eastAsia="仿宋_GB2312" w:cs="仿宋_GB2312"/>
          <w:sz w:val="32"/>
          <w:szCs w:val="32"/>
        </w:rPr>
        <w:t>初中毕业生及同等学力</w:t>
      </w:r>
      <w:bookmarkEnd w:id="5"/>
      <w:bookmarkEnd w:id="6"/>
      <w:bookmarkEnd w:id="7"/>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8" w:name="_Toc12817"/>
      <w:bookmarkStart w:id="9" w:name="_Toc14801"/>
      <w:r>
        <w:rPr>
          <w:rFonts w:hint="eastAsia" w:ascii="黑体" w:hAnsi="黑体" w:eastAsia="黑体" w:cs="黑体"/>
          <w:sz w:val="32"/>
          <w:szCs w:val="32"/>
          <w:lang w:val="en-US" w:eastAsia="zh-CN"/>
        </w:rPr>
        <w:t>三、修业年限</w:t>
      </w:r>
      <w:bookmarkEnd w:id="8"/>
      <w:bookmarkEnd w:id="9"/>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640" w:firstLineChars="200"/>
        <w:textAlignment w:val="auto"/>
        <w:outlineLvl w:val="1"/>
        <w:rPr>
          <w:rFonts w:hint="eastAsia" w:ascii="仿宋_GB2312" w:hAnsi="仿宋_GB2312" w:eastAsia="仿宋_GB2312" w:cs="仿宋_GB2312"/>
          <w:kern w:val="2"/>
          <w:sz w:val="32"/>
          <w:szCs w:val="32"/>
          <w:lang w:val="en-US" w:eastAsia="zh-CN" w:bidi="ar-SA"/>
        </w:rPr>
      </w:pPr>
      <w:bookmarkStart w:id="10" w:name="_Toc32738"/>
      <w:bookmarkStart w:id="11" w:name="_Toc8960"/>
      <w:bookmarkStart w:id="12" w:name="_Toc10865"/>
      <w:bookmarkStart w:id="13" w:name="_Toc13621"/>
      <w:r>
        <w:rPr>
          <w:rFonts w:hint="eastAsia" w:ascii="仿宋_GB2312" w:hAnsi="仿宋_GB2312" w:eastAsia="仿宋_GB2312" w:cs="仿宋_GB2312"/>
          <w:kern w:val="2"/>
          <w:sz w:val="32"/>
          <w:szCs w:val="32"/>
          <w:lang w:val="en-US" w:eastAsia="zh-CN" w:bidi="ar-SA"/>
        </w:rPr>
        <w:t>3年</w:t>
      </w:r>
      <w:bookmarkEnd w:id="10"/>
      <w:bookmarkEnd w:id="11"/>
      <w:bookmarkEnd w:id="12"/>
      <w:bookmarkEnd w:id="13"/>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14" w:name="_Toc27930"/>
      <w:bookmarkStart w:id="15" w:name="_Toc31351"/>
      <w:r>
        <w:rPr>
          <w:rFonts w:hint="eastAsia" w:ascii="黑体" w:hAnsi="黑体" w:eastAsia="黑体" w:cs="黑体"/>
          <w:sz w:val="32"/>
          <w:szCs w:val="32"/>
          <w:lang w:val="en-US" w:eastAsia="zh-CN"/>
        </w:rPr>
        <w:t>四、职业面向</w:t>
      </w:r>
      <w:bookmarkEnd w:id="14"/>
      <w:bookmarkEnd w:id="15"/>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eastAsia" w:ascii="黑体" w:hAnsi="黑体" w:eastAsia="黑体" w:cs="黑体"/>
          <w:lang w:val="en-US" w:eastAsia="zh-CN"/>
        </w:rPr>
      </w:pPr>
      <w:r>
        <w:rPr>
          <w:rFonts w:hint="eastAsia" w:ascii="仿宋_GB2312" w:hAnsi="仿宋_GB2312" w:eastAsia="仿宋_GB2312" w:cs="仿宋_GB2312"/>
          <w:kern w:val="2"/>
          <w:sz w:val="32"/>
          <w:szCs w:val="32"/>
          <w:lang w:val="en-US" w:eastAsia="zh-CN" w:bidi="ar-SA"/>
        </w:rPr>
        <w:t>面向中式面点师、西式面点师等职业，面点原料选配、中式面点制作、西式面点制作等岗位（群）。</w:t>
      </w:r>
    </w:p>
    <w:p>
      <w:pPr>
        <w:pStyle w:val="15"/>
        <w:keepNext w:val="0"/>
        <w:keepLines w:val="0"/>
        <w:pageBreakBefore w:val="0"/>
        <w:widowControl w:val="0"/>
        <w:kinsoku/>
        <w:wordWrap/>
        <w:overflowPunct/>
        <w:topLinePunct w:val="0"/>
        <w:autoSpaceDE/>
        <w:autoSpaceDN/>
        <w:bidi w:val="0"/>
        <w:adjustRightInd w:val="0"/>
        <w:snapToGrid w:val="0"/>
        <w:spacing w:before="219" w:beforeLines="50" w:beforeAutospacing="0" w:after="0" w:afterAutospacing="0" w:line="400" w:lineRule="exact"/>
        <w:jc w:val="center"/>
        <w:textAlignment w:val="auto"/>
        <w:rPr>
          <w:rFonts w:hint="eastAsia" w:ascii="黑体" w:hAnsi="黑体" w:eastAsia="黑体" w:cs="黑体"/>
        </w:rPr>
      </w:pPr>
      <w:r>
        <w:rPr>
          <w:rFonts w:hint="eastAsia" w:ascii="黑体" w:hAnsi="黑体" w:eastAsia="黑体" w:cs="黑体"/>
        </w:rPr>
        <w:t>表1：职业面向信息表</w:t>
      </w:r>
    </w:p>
    <w:tbl>
      <w:tblPr>
        <w:tblStyle w:val="17"/>
        <w:tblW w:w="9375"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268"/>
        <w:gridCol w:w="1455"/>
        <w:gridCol w:w="1786"/>
        <w:gridCol w:w="1589"/>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trPr>
        <w:tc>
          <w:tcPr>
            <w:tcW w:w="129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r>
              <w:rPr>
                <w:rFonts w:hint="eastAsia" w:ascii="黑体" w:hAnsi="黑体" w:eastAsia="黑体" w:cs="黑体"/>
                <w:szCs w:val="21"/>
                <w:lang w:val="en-US" w:eastAsia="zh-CN"/>
              </w:rPr>
              <w:t xml:space="preserve">  </w:t>
            </w:r>
            <w:r>
              <w:rPr>
                <w:rFonts w:hint="eastAsia" w:ascii="黑体" w:hAnsi="黑体" w:eastAsia="黑体" w:cs="黑体"/>
                <w:szCs w:val="21"/>
              </w:rPr>
              <w:t>（代码）</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58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主要岗位</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29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旅游大类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（74）</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餐饮类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（7402）</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餐饮业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w:t>
            </w:r>
            <w:r>
              <w:rPr>
                <w:rFonts w:hint="eastAsia" w:ascii="仿宋_GB2312" w:hAnsi="仿宋_GB2312" w:eastAsia="仿宋_GB2312" w:cs="仿宋_GB2312"/>
                <w:szCs w:val="21"/>
                <w:lang w:val="en-US" w:eastAsia="zh-CN"/>
              </w:rPr>
              <w:t>H</w:t>
            </w:r>
            <w:r>
              <w:rPr>
                <w:rFonts w:hint="eastAsia" w:ascii="仿宋_GB2312" w:hAnsi="仿宋_GB2312" w:eastAsia="仿宋_GB2312" w:cs="仿宋_GB2312"/>
                <w:szCs w:val="21"/>
              </w:rPr>
              <w:t>62）</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中式面点师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val="en-US" w:eastAsia="zh-CN"/>
              </w:rPr>
              <w:t>0</w:t>
            </w:r>
            <w:r>
              <w:rPr>
                <w:rFonts w:hint="eastAsia" w:ascii="仿宋_GB2312" w:hAnsi="仿宋_GB2312" w:eastAsia="仿宋_GB2312" w:cs="仿宋_GB2312"/>
                <w:szCs w:val="21"/>
              </w:rPr>
              <w:t>3-02-02）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西式面点师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val="en-US" w:eastAsia="zh-CN"/>
              </w:rPr>
              <w:t>0</w:t>
            </w:r>
            <w:r>
              <w:rPr>
                <w:rFonts w:hint="eastAsia" w:ascii="仿宋_GB2312" w:hAnsi="仿宋_GB2312" w:eastAsia="仿宋_GB2312" w:cs="仿宋_GB2312"/>
                <w:szCs w:val="21"/>
              </w:rPr>
              <w:t>3-02-04）</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p>
        </w:tc>
        <w:tc>
          <w:tcPr>
            <w:tcW w:w="158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中式面点制作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西式面点制作</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中式面点师（四级）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西式面点师（四级）</w:t>
            </w:r>
          </w:p>
        </w:tc>
      </w:tr>
    </w:tbl>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w:t>
      </w:r>
      <w:r>
        <w:rPr>
          <w:rFonts w:hint="eastAsia" w:ascii="黑体" w:hAnsi="黑体" w:eastAsia="黑体" w:cs="黑体"/>
          <w:kern w:val="2"/>
          <w:sz w:val="32"/>
          <w:szCs w:val="32"/>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5888;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6" w:name="bookmark26"/>
      <w:bookmarkEnd w:id="16"/>
      <w:r>
        <w:rPr>
          <w:rFonts w:hint="eastAsia" w:ascii="黑体" w:hAnsi="黑体" w:eastAsia="黑体" w:cs="黑体"/>
          <w:kern w:val="2"/>
          <w:sz w:val="32"/>
          <w:szCs w:val="32"/>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4"/>
                    <a:stretch>
                      <a:fillRect/>
                    </a:stretch>
                  </pic:blipFill>
                  <pic:spPr>
                    <a:xfrm>
                      <a:off x="0" y="0"/>
                      <a:ext cx="1777" cy="141414"/>
                    </a:xfrm>
                    <a:prstGeom prst="rect">
                      <a:avLst/>
                    </a:prstGeom>
                  </pic:spPr>
                </pic:pic>
              </a:graphicData>
            </a:graphic>
          </wp:inline>
        </w:drawing>
      </w:r>
      <w:r>
        <w:rPr>
          <w:rFonts w:hint="eastAsia" w:ascii="黑体" w:hAnsi="黑体" w:eastAsia="黑体" w:cs="黑体"/>
          <w:kern w:val="2"/>
          <w:sz w:val="32"/>
          <w:szCs w:val="32"/>
          <w:lang w:val="en-US" w:eastAsia="zh-CN" w:bidi="ar-SA"/>
        </w:rPr>
        <w:t>接续专业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接续高职专科专业举例：中西面点工艺、西式烹饪工艺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接续高职本科专业举例：烹饪与餐饮管理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接续普通本科专业举例：烹饪与营养教育</w:t>
      </w:r>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17" w:name="_Toc5729"/>
      <w:bookmarkStart w:id="18" w:name="_Toc1607"/>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lang w:val="en-US" w:eastAsia="zh-CN"/>
        </w:rPr>
        <w:t>六、培养目标与培养规格</w:t>
      </w:r>
      <w:bookmarkEnd w:id="17"/>
      <w:bookmarkEnd w:id="18"/>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r>
        <w:rPr>
          <w:rFonts w:hint="eastAsia" w:ascii="楷体" w:hAnsi="楷体" w:eastAsia="楷体" w:cs="楷体"/>
          <w:sz w:val="32"/>
          <w:szCs w:val="32"/>
          <w:lang w:val="en-US" w:eastAsia="zh-CN" w:bidi="ar"/>
        </w:rPr>
        <w:t xml:space="preserve"> </w:t>
      </w:r>
      <w:bookmarkStart w:id="19" w:name="_Toc14435"/>
      <w:bookmarkStart w:id="20" w:name="_Toc31492"/>
      <w:r>
        <w:rPr>
          <w:rFonts w:hint="eastAsia" w:ascii="楷体" w:hAnsi="楷体" w:eastAsia="楷体" w:cs="楷体"/>
          <w:sz w:val="32"/>
          <w:szCs w:val="32"/>
          <w:lang w:val="en-US" w:eastAsia="zh-CN" w:bidi="ar"/>
        </w:rPr>
        <w:t>（一）培养目标</w:t>
      </w:r>
      <w:bookmarkEnd w:id="19"/>
      <w:bookmarkEnd w:id="20"/>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饮食文化、面点制作方法、食品安全、行业规范、营养卫生等专业知识；具备产品制作、初级管理等能力，面向食品制造、中式面点师、西式面点师等职业的中西面点原料选配、中式面点制作、烘焙、西式面点制作、特色小吃制作等岗位上，能够从事原料选配加工、中式面点制作、焙烤、西式面点制作、小吃制作、厨房餐厅管理的高素质技术技能人才。</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21" w:name="_Toc10229"/>
      <w:bookmarkStart w:id="22" w:name="_Toc25614"/>
      <w:r>
        <w:rPr>
          <w:rFonts w:hint="eastAsia" w:ascii="楷体" w:hAnsi="楷体" w:eastAsia="楷体" w:cs="楷体"/>
          <w:sz w:val="32"/>
          <w:szCs w:val="32"/>
          <w:lang w:val="en-US" w:eastAsia="zh-CN" w:bidi="ar"/>
        </w:rPr>
        <w:t>（二）培养规格</w:t>
      </w:r>
      <w:bookmarkEnd w:id="21"/>
      <w:bookmarkEnd w:id="22"/>
    </w:p>
    <w:p>
      <w:pPr>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23" w:name="_Toc23509"/>
      <w:r>
        <w:rPr>
          <w:rFonts w:hint="eastAsia" w:ascii="仿宋_GB2312" w:hAnsi="仿宋_GB2312" w:eastAsia="仿宋_GB2312" w:cs="仿宋_GB2312"/>
          <w:sz w:val="32"/>
          <w:szCs w:val="32"/>
          <w:lang w:val="en-US" w:eastAsia="zh-CN"/>
        </w:rPr>
        <w:t>1.素质要求</w:t>
      </w:r>
      <w:bookmarkEnd w:id="23"/>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（2）崇尚宪法、遵法守纪、崇德向善、诚实守信、尊重生命、热爱劳动，履行道德准则和法律规范，具有社会责任感和社会参与意识。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（3）具有良好的职业道德和职业素养。崇德向善、诚实守信、爱岗敬业、具有精益求精德工匠精神；尊重劳动、热爱劳动、具有较强德实践能力。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（4）具有较强的人际交往能力，沟通协调能力，团队合作精神、创新和服务意识。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（5）具有质量意识、绿色环保意识、安全意识、信息素养、创新精神，文明生产意识，严格遵守操作规程。</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（6）具有良好的身心素质和人文素养，具有健康的体魄和心理、健全的人格，能够掌握基本运动技能，具有感受美、表现美、鉴赏美、创造美的能力。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（7）具有良好的生活习惯、行为习惯和自我管理能力，具有职业生涯规划意识和可持续发展能力。</w:t>
      </w:r>
    </w:p>
    <w:p>
      <w:pPr>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24" w:name="_Toc15242"/>
      <w:r>
        <w:rPr>
          <w:rFonts w:hint="eastAsia" w:ascii="仿宋_GB2312" w:hAnsi="仿宋_GB2312" w:eastAsia="仿宋_GB2312" w:cs="仿宋_GB2312"/>
          <w:sz w:val="32"/>
          <w:szCs w:val="32"/>
          <w:lang w:val="en-US" w:eastAsia="zh-CN"/>
        </w:rPr>
        <w:t>2.知识要求</w:t>
      </w:r>
      <w:bookmarkEnd w:id="24"/>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（1）掌握中等职业学校学生必备的思想政治、语文、数学、英语、信息技术、艺术、体育与健康和中华优秀传统文化等知识；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（2）熟悉与本专业相关的法律法规以及环境保护、安全消防和安全防护等知识；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（3）掌握行业职业规范、营养与安全卫生等相关法律法规的基本内容，在实践中严格遵照执行知识；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（4）掌握中西面点原料、成本核算等方面的知识；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（5）掌握中西面点制作的发展概况及在餐饮业中的地位和作用；</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（6）掌握中西面点的分类及风味流派特点及分类；</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（7）熟练掌握中西面点制作的一般流程；</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（8）熟练掌握制作水调面团、膨松面团、油酥面团、米粉面团等点心品种、制作原理等相关知识；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（9）熟练掌握制作面包类、蛋糕类、饼干、曲奇类、泡芙类、裱花蛋糕类等西点点心品种和制作原理等相关知识；</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（10）掌握胶东花饽饽制作相关知识和基本操作手法；</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（11）掌握面点基本功相关知识和基本操作手法。</w:t>
      </w:r>
    </w:p>
    <w:p>
      <w:pPr>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25" w:name="_Toc26656"/>
      <w:r>
        <w:rPr>
          <w:rFonts w:hint="eastAsia" w:ascii="仿宋_GB2312" w:hAnsi="仿宋_GB2312" w:eastAsia="仿宋_GB2312" w:cs="仿宋_GB2312"/>
          <w:sz w:val="32"/>
          <w:szCs w:val="32"/>
          <w:lang w:val="en-US" w:eastAsia="zh-CN"/>
        </w:rPr>
        <w:t>3.能力要求</w:t>
      </w:r>
      <w:bookmarkEnd w:id="25"/>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（1）具备合作探究、终身学习、分析和解决问题能力；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（2）具备良好的语言文字表达能力和沟通能力；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（3）具备本专业必需的信息技术应用和维护能力；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（4）具备正确选用和处理面点制作原料的能力；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（5）具备有面点常用设备设施、工具的使用和保养能力；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（6）具备有面点安全生产及规范操作的能力。；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（7）具备熟练制作常见中式面点、西式面点的能力；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（8）具备基本的营养搭配、营养分析、成本核算的能力；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（9）具备中式面点、西式面点的艺术装饰和成品美化的能力；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（10）具备有面点制作行业新技法的使用能力和餐饮智能化设施设备的基础应用能力；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（11）具备绿色生产、环境保护、安全防护、质量管理等相关知识的基本应用能力；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（12）具备终身学习和可持续发展的能力；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（13）具备基本的欣赏美和创造美的能力；</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（14）具备适应岗位变化以及良好的自学能力，成为可持续发展人才；</w:t>
      </w:r>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（15）具备创新和创业基础能力。</w:t>
      </w:r>
    </w:p>
    <w:p>
      <w:pPr>
        <w:adjustRightInd w:val="0"/>
        <w:snapToGrid w:val="0"/>
        <w:spacing w:line="560" w:lineRule="exact"/>
        <w:ind w:firstLine="640" w:firstLineChars="200"/>
        <w:rPr>
          <w:rFonts w:hint="eastAsia" w:ascii="黑体" w:hAnsi="黑体" w:eastAsia="黑体" w:cs="黑体"/>
          <w:kern w:val="0"/>
          <w:sz w:val="32"/>
          <w:szCs w:val="32"/>
          <w:lang w:val="en-US" w:eastAsia="zh-CN"/>
        </w:rPr>
      </w:pPr>
      <w:bookmarkStart w:id="26" w:name="_Toc1583"/>
      <w:bookmarkStart w:id="27" w:name="_Toc4909"/>
      <w:r>
        <w:rPr>
          <w:rFonts w:hint="eastAsia" w:ascii="黑体" w:hAnsi="黑体" w:eastAsia="黑体" w:cs="黑体"/>
          <w:kern w:val="0"/>
          <w:sz w:val="32"/>
          <w:szCs w:val="32"/>
          <w:lang w:val="en-US" w:eastAsia="zh-CN"/>
        </w:rPr>
        <w:t>七、课程结构框架</w:t>
      </w:r>
      <w:bookmarkEnd w:id="26"/>
      <w:bookmarkEnd w:id="27"/>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keepNext w:val="0"/>
        <w:keepLines w:val="0"/>
        <w:pageBreakBefore w:val="0"/>
        <w:kinsoku/>
        <w:wordWrap/>
        <w:overflowPunct/>
        <w:topLinePunct w:val="0"/>
        <w:autoSpaceDE/>
        <w:autoSpaceDN/>
        <w:bidi w:val="0"/>
        <w:adjustRightInd w:val="0"/>
        <w:snapToGrid w:val="0"/>
        <w:spacing w:line="400" w:lineRule="exact"/>
        <w:ind w:firstLine="560" w:firstLineChars="200"/>
        <w:jc w:val="both"/>
        <w:textAlignment w:val="auto"/>
        <w:rPr>
          <w:rFonts w:ascii="仿宋" w:hAnsi="仿宋" w:eastAsia="仿宋" w:cs="仿宋"/>
          <w:sz w:val="28"/>
          <w:szCs w:val="28"/>
        </w:rPr>
        <w:sectPr>
          <w:footerReference r:id="rId6" w:type="default"/>
          <w:pgSz w:w="11907" w:h="16840"/>
          <w:pgMar w:top="2041" w:right="1531" w:bottom="1985" w:left="1531" w:header="851" w:footer="1644" w:gutter="0"/>
          <w:pgNumType w:fmt="decimal" w:start="1"/>
          <w:cols w:space="425" w:num="1"/>
          <w:docGrid w:type="lines" w:linePitch="435" w:charSpace="-6554"/>
        </w:sectPr>
      </w:pPr>
    </w:p>
    <w:p>
      <w:pPr>
        <w:adjustRightInd w:val="0"/>
        <w:snapToGrid w:val="0"/>
        <w:spacing w:line="580" w:lineRule="exact"/>
        <w:jc w:val="center"/>
        <w:outlineLvl w:val="1"/>
        <w:rPr>
          <w:rFonts w:ascii="黑体" w:hAnsi="黑体" w:eastAsia="黑体" w:cs="黑体"/>
          <w:b/>
          <w:bCs/>
          <w:sz w:val="28"/>
          <w:szCs w:val="28"/>
        </w:rPr>
      </w:pPr>
      <w:bookmarkStart w:id="28" w:name="_Toc31200"/>
      <w:bookmarkStart w:id="29" w:name="_Toc20237"/>
      <w:bookmarkStart w:id="30" w:name="_Toc27581"/>
      <w:bookmarkStart w:id="31" w:name="_Toc9021"/>
      <w:r>
        <w:rPr>
          <w:rFonts w:hint="eastAsia" w:ascii="黑体" w:hAnsi="黑体" w:eastAsia="黑体" w:cs="黑体"/>
          <w:b/>
          <w:bCs/>
          <w:kern w:val="0"/>
          <w:sz w:val="28"/>
          <w:szCs w:val="28"/>
        </w:rPr>
        <w:t>中西面点专业课程体系</w:t>
      </w:r>
      <w:bookmarkEnd w:id="28"/>
      <w:bookmarkEnd w:id="29"/>
      <w:bookmarkEnd w:id="30"/>
      <w:bookmarkEnd w:id="31"/>
    </w:p>
    <w:p>
      <w:pPr>
        <w:adjustRightInd w:val="0"/>
        <w:snapToGrid w:val="0"/>
        <w:spacing w:line="580" w:lineRule="exact"/>
        <w:rPr>
          <w:rFonts w:ascii="仿宋" w:hAnsi="仿宋" w:eastAsia="仿宋" w:cs="仿宋"/>
          <w:sz w:val="28"/>
          <w:szCs w:val="28"/>
        </w:rPr>
      </w:pPr>
      <w:r>
        <w:rPr>
          <w:sz w:val="32"/>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322580</wp:posOffset>
                </wp:positionV>
                <wp:extent cx="602615" cy="2650490"/>
                <wp:effectExtent l="9525" t="9525" r="16510" b="26035"/>
                <wp:wrapNone/>
                <wp:docPr id="28" name="矩形 28"/>
                <wp:cNvGraphicFramePr/>
                <a:graphic xmlns:a="http://schemas.openxmlformats.org/drawingml/2006/main">
                  <a:graphicData uri="http://schemas.microsoft.com/office/word/2010/wordprocessingShape">
                    <wps:wsp>
                      <wps:cNvSpPr/>
                      <wps:spPr>
                        <a:xfrm>
                          <a:off x="794385" y="1292860"/>
                          <a:ext cx="602615" cy="2650490"/>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5.4pt;height:208.7pt;width:47.45pt;z-index:251666432;v-text-anchor:middle;mso-width-relative:page;mso-height-relative:page;" fillcolor="#92D050" filled="t" stroked="t" coordsize="21600,21600" o:gfxdata="UEsDBAoAAAAAAIdO4kAAAAAAAAAAAAAAAAAEAAAAZHJzL1BLAwQUAAAACACHTuJAkvt32NoAAAAJ&#10;AQAADwAAAGRycy9kb3ducmV2LnhtbE2PwU7DMBBE70j8g7VIXFBrJ23TKsSpRCVOiAMtgh63sZtY&#10;xHYUu0n69yynclzt08ybYjvZlg26D8Y7CclcANOu8sq4WsLn4XW2ARYiOoWtd1rCVQfYlvd3BebK&#10;j+5DD/tYMwpxIUcJTYxdznmoGm0xzH2nHf3OvrcY6exrrnocKdy2PBUi4xaNo4YGO71rdPWzv1gJ&#10;Zvo+Hl4Wpn8frl8+e9qtR1RvUj4+JOIZWNRTvMHwp0/qUJLTyV+cCqyVMFsvloRKWAmaQECarICd&#10;JCyzTQq8LPj/BeUvUEsDBBQAAAAIAIdO4kCAIjVIiwIAABoFAAAOAAAAZHJzL2Uyb0RvYy54bWyt&#10;VM1u2zAMvg/YOwi6r3a8JE2COkXQoMOAYi3QDTsrshwb0N8kJU73MgN220PscYa9xj7Jbpt2O/Sw&#10;HBRSpEl+H0mdnR+UJHvhfGt0SUcnOSVCc1O1elvSTx8v38wo8YHpikmjRUnvhKfny9evzjq7EIVp&#10;jKyEIwii/aKzJW1CsIss87wRivkTY4WGsTZOsQDVbbPKsQ7RlcyKPJ9mnXGVdYYL73G77o10iOhe&#10;EtDUdcvF2vCdEjr0UZ2QLACSb1rr6TJVW9eCh+u69iIQWVIgDelEEsibeGbLM7bYOmablg8lsJeU&#10;8AyTYq1G0odQaxYY2bn2r1Cq5c54U4cTblTWA0mMAMUof8bNbcOsSFhAtbcPpPv/F5Z/2N840lYl&#10;LdB3zRQ6/vvbj18/vxNcgJ3O+gWcbu2NGzQPMUI91E7Ff4Agh5KezsdvZxNK7jBUxbyYTQdyxSEQ&#10;Dvs0L6Yj2DkciukkH8+TQ/YYyDof3gmjSBRK6tC8xCnbX/mA5HC9d4l5vZFtddlKmRS33VxIR/YM&#10;jZ4X63xyH/2Jm9SkQ33zaCacYXxrjA1EZUGB11tKmNxiL3hwKfeTr/1xkjz9IkWo64lbLHLNfNMX&#10;k0z9nKk2YHVkq0o6O/5a6ghBpHEdoEbae6KjFA6bw8D+xlR36Jgz/Sh7yy9b5LtiPtwwh9kFMGx3&#10;uMZRSwO0ZpAoaYz7+q/76I+RgpWSDrsAJr7smBOUyPcawzYfjcdxeZIynpwWUNyxZXNs0Tt1YdCF&#10;Ed4Ry5MY/YO8F2tn1Gc8AquYFSamOXL3nA/KReh3FM8IF6tVcsPCWBau9K3lMXikTJvVLpi6TdMR&#10;ierZQUuigpVJzRnWO+7ksZ68Hp+0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S+3fY2gAAAAkB&#10;AAAPAAAAAAAAAAEAIAAAACIAAABkcnMvZG93bnJldi54bWxQSwECFAAUAAAACACHTuJAgCI1SIsC&#10;AAAaBQAADgAAAAAAAAABACAAAAApAQAAZHJzL2Uyb0RvYy54bWxQSwUGAAAAAAYABgBZAQAAJgYA&#10;A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6630670</wp:posOffset>
                </wp:positionH>
                <wp:positionV relativeFrom="paragraph">
                  <wp:posOffset>319405</wp:posOffset>
                </wp:positionV>
                <wp:extent cx="533400" cy="316230"/>
                <wp:effectExtent l="6350" t="15240" r="12700" b="30480"/>
                <wp:wrapNone/>
                <wp:docPr id="64" name="右箭头 64"/>
                <wp:cNvGraphicFramePr/>
                <a:graphic xmlns:a="http://schemas.openxmlformats.org/drawingml/2006/main">
                  <a:graphicData uri="http://schemas.microsoft.com/office/word/2010/wordprocessingShape">
                    <wps:wsp>
                      <wps:cNvSpPr/>
                      <wps:spPr>
                        <a:xfrm>
                          <a:off x="6891655" y="1687830"/>
                          <a:ext cx="53340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22.1pt;margin-top:25.15pt;height:24.9pt;width:42pt;z-index:251686912;v-text-anchor:middle;mso-width-relative:page;mso-height-relative:page;" fillcolor="#4874CB" filled="t" stroked="t" coordsize="21600,21600" o:gfxdata="UEsDBAoAAAAAAIdO4kAAAAAAAAAAAAAAAAAEAAAAZHJzL1BLAwQUAAAACACHTuJAxgx7PNcAAAAM&#10;AQAADwAAAGRycy9kb3ducmV2LnhtbE2PwU7DMBBE70j8g7WVuFE7oUVViNNDENw4NKCIoxtvk6jx&#10;OordNvw9mxMcZ+dpdibfz24QV5xC70lDslYgkBpve2o1fH2+Pe5AhGjImsETavjBAPvi/i43mfU3&#10;OuC1iq3gEAqZ0dDFOGZShqZDZ8Laj0jsnfzkTGQ5tdJO5sbhbpCpUs/SmZ74Q2dGLDtsztXFaSib&#10;UJ22B1l/0/xRu1K5+nV41/phlagXEBHn+AfDUp+rQ8Gdjv5CNoiBtdpsUmY1bNUTiIVI0h1fjoun&#10;EpBFLv+PKH4BUEsDBBQAAAAIAIdO4kCNSsW2owIAADoFAAAOAAAAZHJzL2Uyb0RvYy54bWytVM1u&#10;EzEQviPxDpbvdPOz+WnUTRUSipAKrVQQZ8frzVryH2Mnm/ISvARXuMArVbwGY++2TVsOPXDZnfGM&#10;v5n5ZsYnp3utyE6Al9YUtH/Uo0QYbktpNgX99PHs1ZQSH5gpmbJGFPRaeHo6f/nipHEzMbC1VaUA&#10;giDGzxpX0DoEN8syz2uhmT+yThg0VhY0C6jCJiuBNYiuVTbo9cZZY6F0YLnwHk9XrZF2iPAcQFtV&#10;kouV5VstTGhRQSgWsCRfS+fpPGVbVYKHi6ryIhBVUKw0pC8GQXkdv9n8hM02wFwteZcCe04Kj2rS&#10;TBoMege1YoGRLcgnUFpysN5W4YhbnbWFJEawin7vETdXNXMi1YJUe3dHuv9/sPzD7hKILAs6zikx&#10;TGPHb779+vPzx8333wTPkKDG+Rn6XblL6DSPYqx2X4GOf6yD7BFietwfj0aUXONgjaeT6bAjWOwD&#10;4egwGg7zHlLP0WHYHw9ae3YP5MCHt8JqEoWCgtzUYQFgm0Qu2537gCnghVvHGN1bJcszqVRSYLNe&#10;KiA7hh3Pp5N8+TrWgFceuClDGkxyMEnpMJzjCucHM9MOufBmQwlTG1wQHiDFfnDbHwYZvBnli35y&#10;Ulv93pZt7Mmoh9hd6Nb/aRqxjBXzdXslxYhX2EzLgFumpC7oFHHukJSJVpEmuyMjtqdtSJTWtrzG&#10;joJtR907fiYxyDnz4ZIBzjbSj9sfLvBTKYsk2E6ipLbw9V/n0R9HDq2UNLgrSNCXLQNBiXpncBiP&#10;+3kelysp+WgyQAUOLetDi9nqpcXm9PGdcTyJ0T+oW7ECqz/jI7GIUdHEDMfYbSs6ZRnaHcZnhovF&#10;IrnhQjkWzs2V4xE88mTsYhtsJdPQ3LODfYgKrlTqSLf+cWcP9eR1/+T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GDHs81wAAAAwBAAAPAAAAAAAAAAEAIAAAACIAAABkcnMvZG93bnJldi54bWxQ&#10;SwECFAAUAAAACACHTuJAjUrFtqMCAAA6BQAADgAAAAAAAAABACAAAAAmAQAAZHJzL2Uyb0RvYy54&#10;bWxQSwUGAAAAAAYABgBZAQAAOwYAAAAA&#10;" adj="15198,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中式面点综合实训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9984;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中式面点综合实训</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462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3600;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7936;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8960;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3840;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2576;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西式面点综合实训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91008;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西式面点综合实训</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769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8480;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面塑、烹饪工艺美术、智能烹饪基础、风味小吃制作、名点赏析与制作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59264;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ULE9V2AAAAAsBAAAPAAAAAAAAAAEAIAAAACIAAABkcnMvZG93bnJl&#10;di54bWxQSwECFAAUAAAACACHTuJAuDYODKgCAABUBQAADgAAAAAAAAABACAAAAAnAQAAZHJzL2Uy&#10;b0RvYy54bWxQSwUGAAAAAAYABgBZAQAAQQYAAAAA&#10;">
                <v:fill on="t" focussize="0,0"/>
                <v:stroke weight="1.5pt" color="#000000"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面塑、烹饪工艺美术、智能烹饪基础、风味小吃制作、名点赏析与制作</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中西面点基本功、中式面点制作、西式面点制作、面包课堂、蛋糕裱花与装饰、</w:t>
                            </w:r>
                          </w:p>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花饽饽制作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0528;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中西面点基本功、中式面点制作、西式面点制作、面包课堂、蛋糕裱花与装饰、</w:t>
                      </w:r>
                    </w:p>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花饽饽制作</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6672;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7456;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 xml:space="preserve">中西面点原料知识、营养安全与卫生、成本核算、厨政管理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1552;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 xml:space="preserve">中西面点原料知识、营养安全与卫生、成本核算、厨政管理 </w:t>
                      </w:r>
                    </w:p>
                  </w:txbxContent>
                </v:textbox>
              </v:rect>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9504;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-503555</wp:posOffset>
                </wp:positionH>
                <wp:positionV relativeFrom="paragraph">
                  <wp:posOffset>191135</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9.65pt;margin-top:15.05pt;height:122.55pt;width:47.45pt;z-index:251660288;v-text-anchor:middle;mso-width-relative:page;mso-height-relative:page;" fillcolor="#FFFF00" filled="t" stroked="t" coordsize="21600,21600" o:gfxdata="UEsDBAoAAAAAAIdO4kAAAAAAAAAAAAAAAAAEAAAAZHJzL1BLAwQUAAAACACHTuJA9lz1DNYAAAAJ&#10;AQAADwAAAGRycy9kb3ducmV2LnhtbE2Py27CMBBF95X6D9YgdQdOgghtyIQFEttKpIi1iScPEY+j&#10;2JDw9zWrdjm6R/eeyfez6cWDRtdZRohXEQjiyuqOG4Tzz3H5CcJ5xVr1lgnhSQ72xftbrjJtJz7R&#10;o/SNCCXsMoXQej9kUrqqJaPcyg7EIavtaJQP59hIPaoplJteJlGUSqM6DgutGujQUnUr7wZhPh5O&#10;5RRfSn7K8+X7ZmudzjXixyKOdiA8zf4Phpd+UIciOF3tnbUTPcJy+7UOKMI6ikG8gE0K4oqQbDcJ&#10;yCKX/z8ofgFQSwMEFAAAAAgAh07iQKKFkmy0AgAAQAUAAA4AAABkcnMvZTJvRG9jLnhtbK1UzW4T&#10;MRC+I/EOlu90N2k2aaNuqihREFIFkQri7HjtrCX/YTvZlBOcEOLAA/AC3DhxhacpP2/B2Ltt08Kh&#10;B/bgnfGMv5n5ZuyT052SaMucF0aXuHeQY8Q0NZXQ6xK/eL54dISRD0RXRBrNSnzBPD6dPHxw0tgx&#10;65vayIo5BCDajxtb4joEO84yT2umiD8wlmkwcuMUCaC6dVY50gC6klk/z4dZY1xlnaHMe9idt0bc&#10;Ibr7ABrOBWVzQzeK6dCiOiZJgJJ8LazHk5Qt54yGZ5x7FpAsMVQa0gpBQF7FNZuckPHaEVsL2qVA&#10;7pPCnZoUERqCXkPNSSBo48RfUEpQZ7zh4YAalbWFJEagil5+h5vzmliWagGqvb0m3f8/WPp0u3RI&#10;VCUuCow0UdDxH1/f/vz84fLTtzG6/Pjl95v3v76/gw0EHkBXY/0YTp3bpes0D2Ksfcedin+oCu1K&#10;PBoVxyPg+aLEg+FhPuh3bLNdQBTsw7w/7EFQCg69ohgeHiX87AbIOh8eM6NQFErMpWlmNXFhKgNz&#10;mgS2bMcoMU+2Zz5ARnD+6lxMxhspqoWQMiluvZpJh7YExmEBX55ygiO33KRGDeR0nBeQPiUw5ByG&#10;C0RlgSiv1xgRuYbbQ4NLsW+d9vtB8vRF3u4GiUnOia/bZBJCO41KQHVIClXio/3TUscSWBrqrtTY&#10;i5b9KIXdate1ZGWqC+irM+3Ae0sXAuKdER+WxMGEQ2HwBoRnsERaS2w6CaPauNf/2o/+MHhgxaiB&#10;GwNMvNoQxzCSTzSM5HFvMADYkJRBMYJ+I7dvWe1b9EbNDHShB6+NpUmM/kFeidwZ9RKeimmMCiai&#10;KcRuOe+UWWhvMjw2lE2nyQ2ulSXhTJ9bGsEjZdpMN8FwkaYjEtWyAy2JClys1JzuEYg3d19PXjcP&#10;3+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9lz1DNYAAAAJAQAADwAAAAAAAAABACAAAAAiAAAA&#10;ZHJzL2Rvd25yZXYueG1sUEsBAhQAFAAAAAgAh07iQKKFkmy0AgAAQAUAAA4AAAAAAAAAAQAgAAAA&#10;JQEAAGRycy9lMm9Eb2MueG1sUEsFBgAAAAAGAAYAWQEAAEsGAAAAAA==&#10;">
                <v:fill on="t" focussize="0,0"/>
                <v:stroke weight="1.5pt" color="#000000 [3213]"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4080;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2032;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5408;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4384;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5104;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3056;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rPr>
          <w:rFonts w:ascii="仿宋" w:hAnsi="仿宋" w:eastAsia="仿宋" w:cs="仿宋"/>
          <w:sz w:val="28"/>
          <w:szCs w:val="28"/>
        </w:rPr>
        <w:sectPr>
          <w:pgSz w:w="16840" w:h="11907" w:orient="landscape"/>
          <w:pgMar w:top="1531" w:right="2041" w:bottom="1531" w:left="1985" w:header="851" w:footer="1644" w:gutter="0"/>
          <w:pgNumType w:fmt="decimal"/>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400" w:lineRule="exact"/>
        <w:ind w:firstLine="640" w:firstLineChars="200"/>
        <w:textAlignment w:val="auto"/>
        <w:outlineLvl w:val="0"/>
        <w:rPr>
          <w:rFonts w:hint="eastAsia" w:ascii="黑体" w:hAnsi="黑体" w:eastAsia="黑体" w:cs="黑体"/>
          <w:kern w:val="2"/>
          <w:sz w:val="32"/>
          <w:szCs w:val="32"/>
          <w:lang w:val="en-US" w:eastAsia="zh-CN" w:bidi="ar-SA"/>
        </w:rPr>
      </w:pPr>
      <w:bookmarkStart w:id="32" w:name="_Toc2629"/>
      <w:bookmarkStart w:id="33" w:name="_Toc14925"/>
      <w:r>
        <w:rPr>
          <w:rFonts w:hint="eastAsia" w:ascii="黑体" w:hAnsi="黑体" w:eastAsia="黑体" w:cs="黑体"/>
          <w:kern w:val="2"/>
          <w:sz w:val="32"/>
          <w:szCs w:val="32"/>
          <w:lang w:val="en-US" w:eastAsia="zh-CN" w:bidi="ar-SA"/>
        </w:rPr>
        <w:t>八、课程设置及要求</w:t>
      </w:r>
      <w:bookmarkEnd w:id="32"/>
      <w:bookmarkEnd w:id="33"/>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主要包括公共基础课程和专业（技能）课程两类。公共基础课程包括必修课和限定选修课、任意选修课；专业（技能）课程包括专业基础课、专业核心课、专业拓展课和实习实训等。</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34" w:name="_Toc21921"/>
      <w:bookmarkStart w:id="35" w:name="_Toc27018"/>
      <w:r>
        <w:rPr>
          <w:rFonts w:hint="eastAsia" w:ascii="楷体" w:hAnsi="楷体" w:eastAsia="楷体" w:cs="楷体"/>
          <w:sz w:val="32"/>
          <w:szCs w:val="32"/>
          <w:lang w:val="en-US" w:eastAsia="zh-CN" w:bidi="ar"/>
        </w:rPr>
        <w:t>（一）公共基础</w:t>
      </w:r>
      <w:bookmarkEnd w:id="34"/>
      <w:r>
        <w:rPr>
          <w:rFonts w:hint="eastAsia" w:ascii="楷体" w:hAnsi="楷体" w:eastAsia="楷体" w:cs="楷体"/>
          <w:sz w:val="32"/>
          <w:szCs w:val="32"/>
          <w:lang w:val="en-US" w:eastAsia="zh-CN" w:bidi="ar"/>
        </w:rPr>
        <w:t>课程</w:t>
      </w:r>
      <w:bookmarkEnd w:id="35"/>
    </w:p>
    <w:p>
      <w:pPr>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据《中等职业学校公共基础课程方案》的规定，将中国特色社会主义、心理健康与职业生涯、哲学与人生、职业道德与法治、语文、历史、数学、英语、信息技术、体育与健康、艺术、劳动教育等列为公共基础必修课程，中华优秀传统文化教育、安全教育、中职生创新创业教育、语文（职业模块）、数学（拓展模块）等列为限定选修课。</w:t>
      </w:r>
    </w:p>
    <w:p>
      <w:pPr>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表2  公共基础必修课程教学内容与要求</w:t>
      </w:r>
    </w:p>
    <w:tbl>
      <w:tblPr>
        <w:tblStyle w:val="17"/>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6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序号</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课程名称</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教学内容与要求</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中国特色</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社会主义</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心理健康与</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职业生涯</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哲学与人生</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职业道德与</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法治</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语文</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按照教育部颁布的《中等职业学校语文课程标准》的要求开设。通过</w:t>
            </w:r>
            <w:r>
              <w:rPr>
                <w:rFonts w:hint="eastAsia" w:ascii="仿宋_GB2312" w:hAnsi="仿宋_GB2312" w:eastAsia="仿宋_GB2312" w:cs="仿宋_GB2312"/>
                <w:szCs w:val="21"/>
                <w:lang w:val="en-US" w:eastAsia="zh-CN"/>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数学</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英语</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英语课程标准》的教学要求开设。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信息技术</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信息技术课程标准》的教学要求开设。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历史</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体育与健康</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11</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艺术</w:t>
            </w:r>
          </w:p>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w:t>
            </w:r>
            <w:r>
              <w:rPr>
                <w:rFonts w:hint="eastAsia" w:ascii="仿宋_GB2312" w:hAnsi="仿宋_GB2312" w:eastAsia="仿宋_GB2312" w:cs="仿宋_GB2312"/>
                <w:szCs w:val="21"/>
                <w:lang w:val="en-US" w:eastAsia="zh-CN"/>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照教育部颁布的《中等职业学校艺术课程标准》的教学要求开设。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690"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w:t>
            </w:r>
          </w:p>
        </w:tc>
        <w:tc>
          <w:tcPr>
            <w:tcW w:w="139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劳动</w:t>
            </w:r>
            <w:r>
              <w:rPr>
                <w:rFonts w:hint="eastAsia" w:ascii="仿宋_GB2312" w:hAnsi="仿宋_GB2312" w:eastAsia="仿宋_GB2312" w:cs="仿宋_GB2312"/>
                <w:szCs w:val="21"/>
                <w:lang w:val="en-US" w:eastAsia="zh-CN"/>
              </w:rPr>
              <w:t>教育</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bl>
    <w:p>
      <w:pPr>
        <w:jc w:val="center"/>
        <w:rPr>
          <w:rFonts w:hint="eastAsia" w:ascii="黑体" w:hAnsi="黑体" w:eastAsia="黑体" w:cs="黑体"/>
          <w:kern w:val="2"/>
          <w:sz w:val="24"/>
          <w:szCs w:val="24"/>
          <w:lang w:val="en-US" w:eastAsia="zh-CN" w:bidi="ar-SA"/>
        </w:rPr>
      </w:pPr>
    </w:p>
    <w:p>
      <w:pPr>
        <w:jc w:val="center"/>
        <w:rPr>
          <w:rFonts w:hint="eastAsia" w:ascii="黑体" w:hAnsi="黑体" w:eastAsia="黑体" w:cs="黑体"/>
          <w:kern w:val="2"/>
          <w:sz w:val="24"/>
          <w:szCs w:val="24"/>
          <w:lang w:val="en-US" w:eastAsia="zh-CN" w:bidi="ar-SA"/>
        </w:rPr>
      </w:pPr>
    </w:p>
    <w:p>
      <w:pPr>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表3  公共基础选修课程教学内容与要求</w:t>
      </w:r>
    </w:p>
    <w:tbl>
      <w:tblPr>
        <w:tblStyle w:val="17"/>
        <w:tblW w:w="10065" w:type="dxa"/>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90" w:type="dxa"/>
            <w:vAlign w:val="center"/>
          </w:tcPr>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序号</w:t>
            </w:r>
          </w:p>
        </w:tc>
        <w:tc>
          <w:tcPr>
            <w:tcW w:w="1395" w:type="dxa"/>
            <w:vAlign w:val="center"/>
          </w:tcPr>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课程名称</w:t>
            </w:r>
          </w:p>
        </w:tc>
        <w:tc>
          <w:tcPr>
            <w:tcW w:w="6840" w:type="dxa"/>
            <w:vAlign w:val="center"/>
          </w:tcPr>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教学内容与要求</w:t>
            </w:r>
          </w:p>
        </w:tc>
        <w:tc>
          <w:tcPr>
            <w:tcW w:w="1140" w:type="dxa"/>
            <w:vAlign w:val="center"/>
          </w:tcPr>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690" w:type="dxa"/>
            <w:vAlign w:val="center"/>
          </w:tcPr>
          <w:p>
            <w:pPr>
              <w:spacing w:line="240" w:lineRule="auto"/>
              <w:jc w:val="center"/>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1</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zh-CN" w:eastAsia="zh-CN"/>
              </w:rPr>
              <w:t>中职生传统文化</w:t>
            </w:r>
            <w:r>
              <w:rPr>
                <w:rFonts w:hint="eastAsia" w:ascii="仿宋_GB2312" w:hAnsi="仿宋_GB2312" w:eastAsia="仿宋_GB2312" w:cs="仿宋_GB2312"/>
                <w:szCs w:val="21"/>
                <w:lang w:val="en-US" w:eastAsia="zh-CN"/>
              </w:rPr>
              <w:t>教育</w:t>
            </w:r>
          </w:p>
        </w:tc>
        <w:tc>
          <w:tcPr>
            <w:tcW w:w="68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690"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zh-CN"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395"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zh-CN"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安全教育</w:t>
            </w:r>
          </w:p>
        </w:tc>
        <w:tc>
          <w:tcPr>
            <w:tcW w:w="68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40"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zh-CN" w:eastAsia="zh-CN" w:bidi="ar-SA"/>
              </w:rPr>
            </w:pPr>
            <w:r>
              <w:rPr>
                <w:rFonts w:hint="eastAsia" w:ascii="仿宋_GB2312" w:hAnsi="仿宋_GB2312" w:eastAsia="仿宋_GB2312" w:cs="仿宋_GB2312"/>
                <w:b w:val="0"/>
                <w:bCs w:val="0"/>
                <w:color w:val="auto"/>
                <w:kern w:val="0"/>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69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zh-CN" w:eastAsia="zh-CN" w:bidi="ar-SA"/>
              </w:rPr>
            </w:pPr>
            <w:r>
              <w:rPr>
                <w:rFonts w:hint="eastAsia" w:ascii="仿宋_GB2312" w:hAnsi="仿宋_GB2312" w:eastAsia="仿宋_GB2312" w:cs="仿宋_GB2312"/>
                <w:kern w:val="0"/>
                <w:szCs w:val="21"/>
                <w:lang w:val="en-US" w:eastAsia="zh-CN"/>
              </w:rPr>
              <w:t>3</w:t>
            </w:r>
          </w:p>
        </w:tc>
        <w:tc>
          <w:tcPr>
            <w:tcW w:w="139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zh-CN" w:eastAsia="zh-CN" w:bidi="ar-SA"/>
              </w:rPr>
            </w:pPr>
            <w:r>
              <w:rPr>
                <w:rFonts w:hint="eastAsia" w:ascii="仿宋_GB2312" w:hAnsi="仿宋_GB2312" w:eastAsia="仿宋_GB2312" w:cs="仿宋_GB2312"/>
                <w:kern w:val="0"/>
                <w:szCs w:val="21"/>
                <w:lang w:val="en-US" w:eastAsia="zh-CN"/>
              </w:rPr>
              <w:t>中职生创新创业教育</w:t>
            </w:r>
          </w:p>
        </w:tc>
        <w:tc>
          <w:tcPr>
            <w:tcW w:w="684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4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zh-CN"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690" w:type="dxa"/>
            <w:vAlign w:val="center"/>
          </w:tcPr>
          <w:p>
            <w:pPr>
              <w:pStyle w:val="7"/>
              <w:spacing w:line="380" w:lineRule="exact"/>
              <w:jc w:val="center"/>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en-US" w:eastAsia="zh-CN" w:bidi="ar-SA"/>
              </w:rPr>
              <w:t>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语文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（职业模块）</w:t>
            </w:r>
          </w:p>
        </w:tc>
        <w:tc>
          <w:tcPr>
            <w:tcW w:w="68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trPr>
        <w:tc>
          <w:tcPr>
            <w:tcW w:w="690" w:type="dxa"/>
            <w:vAlign w:val="center"/>
          </w:tcPr>
          <w:p>
            <w:pPr>
              <w:pStyle w:val="7"/>
              <w:spacing w:line="380" w:lineRule="exact"/>
              <w:jc w:val="center"/>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en-US" w:eastAsia="zh-CN" w:bidi="ar-SA"/>
              </w:rPr>
              <w:t>5</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数学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（拓展模块）</w:t>
            </w:r>
          </w:p>
        </w:tc>
        <w:tc>
          <w:tcPr>
            <w:tcW w:w="68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en-US" w:eastAsia="zh-CN"/>
              </w:rPr>
              <w:t>6</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英语</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（职业模块）</w:t>
            </w:r>
          </w:p>
        </w:tc>
        <w:tc>
          <w:tcPr>
            <w:tcW w:w="68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模块是英语限定选修模块，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69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en-US" w:eastAsia="zh-CN"/>
              </w:rPr>
              <w:t>7</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体育与健康</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（拓展模块）</w:t>
            </w:r>
          </w:p>
        </w:tc>
        <w:tc>
          <w:tcPr>
            <w:tcW w:w="68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90</w:t>
            </w:r>
          </w:p>
        </w:tc>
      </w:tr>
    </w:tbl>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36" w:name="_Toc8331"/>
      <w:bookmarkStart w:id="37" w:name="_Toc16528"/>
      <w:r>
        <w:rPr>
          <w:rFonts w:hint="eastAsia" w:ascii="楷体" w:hAnsi="楷体" w:eastAsia="楷体" w:cs="楷体"/>
          <w:sz w:val="32"/>
          <w:szCs w:val="32"/>
          <w:lang w:val="en-US" w:eastAsia="zh-CN" w:bidi="ar"/>
        </w:rPr>
        <w:t>（二）专业（技能）课程</w:t>
      </w:r>
      <w:bookmarkEnd w:id="36"/>
      <w:bookmarkEnd w:id="37"/>
    </w:p>
    <w:p>
      <w:pPr>
        <w:autoSpaceDE w:val="0"/>
        <w:autoSpaceDN w:val="0"/>
        <w:adjustRightIn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专业（技能）课程包括专业基础课程、专业核心课程、专业拓展课程和实习实训等。</w:t>
      </w:r>
    </w:p>
    <w:p>
      <w:pPr>
        <w:autoSpaceDE w:val="0"/>
        <w:autoSpaceDN w:val="0"/>
        <w:adjustRightIn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38" w:name="_Toc4942"/>
      <w:r>
        <w:rPr>
          <w:rFonts w:hint="eastAsia" w:ascii="仿宋_GB2312" w:hAnsi="仿宋_GB2312" w:eastAsia="仿宋_GB2312" w:cs="仿宋_GB2312"/>
          <w:sz w:val="32"/>
          <w:szCs w:val="32"/>
          <w:lang w:val="en-US" w:eastAsia="zh-CN"/>
        </w:rPr>
        <w:t>1.专业基础课程</w:t>
      </w:r>
      <w:bookmarkEnd w:id="38"/>
    </w:p>
    <w:p>
      <w:pPr>
        <w:autoSpaceDE w:val="0"/>
        <w:autoSpaceDN w:val="0"/>
        <w:adjustRightIn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主要包括中西面点原料知识、营养安全与卫生、成本核算、厨政管理等四门课程，是中西面点专业学生必修的专业基础课程。</w:t>
      </w:r>
    </w:p>
    <w:p>
      <w:pPr>
        <w:jc w:val="center"/>
        <w:rPr>
          <w:rFonts w:hint="eastAsia" w:ascii="黑体" w:hAnsi="黑体" w:eastAsia="黑体" w:cs="黑体"/>
          <w:sz w:val="24"/>
        </w:rPr>
      </w:pPr>
      <w:r>
        <w:rPr>
          <w:rFonts w:hint="eastAsia" w:ascii="黑体" w:hAnsi="黑体" w:eastAsia="黑体" w:cs="黑体"/>
          <w:sz w:val="24"/>
        </w:rPr>
        <w:t>表4  专业基础课程主要教学内容与要求</w:t>
      </w:r>
    </w:p>
    <w:tbl>
      <w:tblPr>
        <w:tblStyle w:val="16"/>
        <w:tblW w:w="5529"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72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序号</w:t>
            </w:r>
          </w:p>
        </w:tc>
        <w:tc>
          <w:tcPr>
            <w:tcW w:w="763"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课程名称</w:t>
            </w:r>
          </w:p>
        </w:tc>
        <w:tc>
          <w:tcPr>
            <w:tcW w:w="3353"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教学内容与要求</w:t>
            </w:r>
          </w:p>
        </w:tc>
        <w:tc>
          <w:tcPr>
            <w:tcW w:w="560"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32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763"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中西面点</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原料知识</w:t>
            </w:r>
          </w:p>
        </w:tc>
        <w:tc>
          <w:tcPr>
            <w:tcW w:w="3353"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w:t>
            </w:r>
            <w:r>
              <w:rPr>
                <w:rFonts w:hint="default" w:ascii="仿宋_GB2312" w:hAnsi="仿宋_GB2312" w:eastAsia="仿宋_GB2312" w:cs="仿宋_GB2312"/>
                <w:szCs w:val="21"/>
                <w:lang w:val="en-US" w:eastAsia="zh-CN"/>
              </w:rPr>
              <w:t>中西面点</w:t>
            </w:r>
            <w:r>
              <w:rPr>
                <w:rFonts w:hint="eastAsia" w:ascii="仿宋_GB2312" w:hAnsi="仿宋_GB2312" w:eastAsia="仿宋_GB2312" w:cs="仿宋_GB2312"/>
                <w:szCs w:val="21"/>
                <w:lang w:val="en-US" w:eastAsia="zh-CN"/>
              </w:rPr>
              <w:t>专业必修的专业基础课程。通过学习</w:t>
            </w:r>
            <w:r>
              <w:rPr>
                <w:rFonts w:hint="default" w:ascii="仿宋_GB2312" w:hAnsi="仿宋_GB2312" w:eastAsia="仿宋_GB2312" w:cs="仿宋_GB2312"/>
                <w:szCs w:val="21"/>
                <w:lang w:val="en-US" w:eastAsia="zh-CN"/>
              </w:rPr>
              <w:t>谷物类原料、蔬菜类原料、畜禽类原料、水产品类原料、干货制品类原料、菌藻类原料、果品类原料、调味品类原料</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佐助类原料</w:t>
            </w:r>
            <w:r>
              <w:rPr>
                <w:rFonts w:hint="eastAsia" w:ascii="仿宋_GB2312" w:hAnsi="仿宋_GB2312" w:eastAsia="仿宋_GB2312" w:cs="仿宋_GB2312"/>
                <w:szCs w:val="21"/>
                <w:lang w:val="en-US" w:eastAsia="zh-CN"/>
              </w:rPr>
              <w:t>，掌握</w:t>
            </w:r>
            <w:r>
              <w:rPr>
                <w:rFonts w:hint="default" w:ascii="仿宋_GB2312" w:hAnsi="仿宋_GB2312" w:eastAsia="仿宋_GB2312" w:cs="仿宋_GB2312"/>
                <w:szCs w:val="21"/>
                <w:lang w:val="en-US" w:eastAsia="zh-CN"/>
              </w:rPr>
              <w:t>原料的名称、外形、产地、产季、种类、品质特点、</w:t>
            </w:r>
            <w:r>
              <w:rPr>
                <w:rFonts w:hint="eastAsia" w:ascii="仿宋_GB2312" w:hAnsi="仿宋_GB2312" w:eastAsia="仿宋_GB2312" w:cs="仿宋_GB2312"/>
                <w:szCs w:val="21"/>
                <w:lang w:val="en-US" w:eastAsia="zh-CN"/>
              </w:rPr>
              <w:t>生产</w:t>
            </w:r>
            <w:r>
              <w:rPr>
                <w:rFonts w:hint="default" w:ascii="仿宋_GB2312" w:hAnsi="仿宋_GB2312" w:eastAsia="仿宋_GB2312" w:cs="仿宋_GB2312"/>
                <w:szCs w:val="21"/>
                <w:lang w:val="en-US" w:eastAsia="zh-CN"/>
              </w:rPr>
              <w:t>应用、营养、品质鉴别等</w:t>
            </w:r>
            <w:r>
              <w:rPr>
                <w:rFonts w:hint="eastAsia" w:ascii="仿宋_GB2312" w:hAnsi="仿宋_GB2312" w:eastAsia="仿宋_GB2312" w:cs="仿宋_GB2312"/>
                <w:szCs w:val="21"/>
                <w:lang w:val="en-US" w:eastAsia="zh-CN"/>
              </w:rPr>
              <w:t>，具备</w:t>
            </w:r>
            <w:r>
              <w:rPr>
                <w:rFonts w:hint="default" w:ascii="仿宋_GB2312" w:hAnsi="仿宋_GB2312" w:eastAsia="仿宋_GB2312" w:cs="仿宋_GB2312"/>
                <w:szCs w:val="21"/>
                <w:lang w:val="en-US" w:eastAsia="zh-CN"/>
              </w:rPr>
              <w:t>必须的烹饪原料基础知识</w:t>
            </w:r>
            <w:r>
              <w:rPr>
                <w:rFonts w:hint="eastAsia" w:ascii="仿宋_GB2312" w:hAnsi="仿宋_GB2312" w:eastAsia="仿宋_GB2312" w:cs="仿宋_GB2312"/>
                <w:szCs w:val="21"/>
                <w:lang w:val="en-US" w:eastAsia="zh-CN"/>
              </w:rPr>
              <w:t>，能够</w:t>
            </w:r>
            <w:r>
              <w:rPr>
                <w:rFonts w:hint="default" w:ascii="仿宋_GB2312" w:hAnsi="仿宋_GB2312" w:eastAsia="仿宋_GB2312" w:cs="仿宋_GB2312"/>
                <w:szCs w:val="21"/>
                <w:lang w:val="en-US" w:eastAsia="zh-CN"/>
              </w:rPr>
              <w:t>根据原料的特性在烹饪中灵活应用</w:t>
            </w:r>
            <w:r>
              <w:rPr>
                <w:rFonts w:hint="eastAsia" w:ascii="仿宋_GB2312" w:hAnsi="仿宋_GB2312" w:eastAsia="仿宋_GB2312" w:cs="仿宋_GB2312"/>
                <w:szCs w:val="21"/>
                <w:lang w:val="en-US" w:eastAsia="zh-CN"/>
              </w:rPr>
              <w:t>，为</w:t>
            </w:r>
            <w:r>
              <w:rPr>
                <w:rFonts w:hint="default" w:ascii="仿宋_GB2312" w:hAnsi="仿宋_GB2312" w:eastAsia="仿宋_GB2312" w:cs="仿宋_GB2312"/>
                <w:szCs w:val="21"/>
                <w:lang w:val="en-US" w:eastAsia="zh-CN"/>
              </w:rPr>
              <w:t>相关的专业知识打下</w:t>
            </w:r>
            <w:r>
              <w:rPr>
                <w:rFonts w:hint="eastAsia" w:ascii="仿宋_GB2312" w:hAnsi="仿宋_GB2312" w:eastAsia="仿宋_GB2312" w:cs="仿宋_GB2312"/>
                <w:szCs w:val="21"/>
                <w:lang w:val="en-US" w:eastAsia="zh-CN"/>
              </w:rPr>
              <w:t>基础</w:t>
            </w:r>
            <w:r>
              <w:rPr>
                <w:rFonts w:hint="default" w:ascii="仿宋_GB2312" w:hAnsi="仿宋_GB2312" w:eastAsia="仿宋_GB2312" w:cs="仿宋_GB2312"/>
                <w:szCs w:val="21"/>
                <w:lang w:val="en-US" w:eastAsia="zh-CN"/>
              </w:rPr>
              <w:t>。</w:t>
            </w:r>
          </w:p>
        </w:tc>
        <w:tc>
          <w:tcPr>
            <w:tcW w:w="56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32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763"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营养安全与</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卫生</w:t>
            </w:r>
          </w:p>
        </w:tc>
        <w:tc>
          <w:tcPr>
            <w:tcW w:w="3353"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基础课程。通过对人体需要的基本营养素、烹饪原料的营养价值、烹饪加工对原料营养价值的影响、合理烹饪与健康、特殊人群的营养需求分析等内容的学习，使学生掌握人体所需要的营养素、了解常见食材原料的营养价值、掌握烹饪过程中营养素的保留手段，了解特殊人群营养需求，能够在进入餐饮工作岗位后科学运用营养学知识指导食物制作过程、针对各类人群需求，制订膳食营养改善计划、协助普及营养健康知识，推广健康烹饪模式与营养均衡配餐，为以后学习其他专业课程打下坚实的基础。</w:t>
            </w:r>
          </w:p>
        </w:tc>
        <w:tc>
          <w:tcPr>
            <w:tcW w:w="56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2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763"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成本核算</w:t>
            </w:r>
          </w:p>
        </w:tc>
        <w:tc>
          <w:tcPr>
            <w:tcW w:w="3353"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本课程是中西面点专业必修的专业基础课程。 通过学习</w:t>
            </w:r>
            <w:r>
              <w:rPr>
                <w:rFonts w:hint="default" w:ascii="仿宋_GB2312" w:hAnsi="仿宋_GB2312" w:eastAsia="仿宋_GB2312" w:cs="仿宋_GB2312"/>
                <w:szCs w:val="21"/>
                <w:lang w:val="en-US" w:eastAsia="zh-CN"/>
              </w:rPr>
              <w:t>餐饮成本核算的数学基础、热量在营养配餐中的应用、餐饮成本核算、饮食产品销售价格核定</w:t>
            </w:r>
            <w:r>
              <w:rPr>
                <w:rFonts w:hint="eastAsia" w:ascii="仿宋_GB2312" w:hAnsi="仿宋_GB2312" w:eastAsia="仿宋_GB2312" w:cs="仿宋_GB2312"/>
                <w:szCs w:val="21"/>
                <w:lang w:val="en-US" w:eastAsia="zh-CN"/>
              </w:rPr>
              <w:t>等内容，使学生了解</w:t>
            </w:r>
            <w:r>
              <w:rPr>
                <w:rFonts w:hint="default" w:ascii="仿宋_GB2312" w:hAnsi="仿宋_GB2312" w:eastAsia="仿宋_GB2312" w:cs="仿宋_GB2312"/>
                <w:szCs w:val="21"/>
                <w:lang w:val="en-US" w:eastAsia="zh-CN"/>
              </w:rPr>
              <w:t>营养配餐的知识</w:t>
            </w:r>
            <w:r>
              <w:rPr>
                <w:rFonts w:hint="eastAsia" w:ascii="仿宋_GB2312" w:hAnsi="仿宋_GB2312" w:eastAsia="仿宋_GB2312" w:cs="仿宋_GB2312"/>
                <w:szCs w:val="21"/>
                <w:lang w:val="en-US" w:eastAsia="zh-CN"/>
              </w:rPr>
              <w:t>，掌握</w:t>
            </w:r>
            <w:r>
              <w:rPr>
                <w:rFonts w:hint="default" w:ascii="仿宋_GB2312" w:hAnsi="仿宋_GB2312" w:eastAsia="仿宋_GB2312" w:cs="仿宋_GB2312"/>
                <w:szCs w:val="21"/>
                <w:lang w:val="en-US" w:eastAsia="zh-CN"/>
              </w:rPr>
              <w:t>净料、净料率、食品成本三要素等知识</w:t>
            </w:r>
            <w:r>
              <w:rPr>
                <w:rFonts w:hint="eastAsia" w:ascii="仿宋_GB2312" w:hAnsi="仿宋_GB2312" w:eastAsia="仿宋_GB2312" w:cs="仿宋_GB2312"/>
                <w:szCs w:val="21"/>
                <w:lang w:val="en-US" w:eastAsia="zh-CN"/>
              </w:rPr>
              <w:t>，具备</w:t>
            </w:r>
            <w:r>
              <w:rPr>
                <w:rFonts w:hint="default" w:ascii="仿宋_GB2312" w:hAnsi="仿宋_GB2312" w:eastAsia="仿宋_GB2312" w:cs="仿宋_GB2312"/>
                <w:szCs w:val="21"/>
                <w:lang w:val="en-US" w:eastAsia="zh-CN"/>
              </w:rPr>
              <w:t>餐饮成本核算的</w:t>
            </w:r>
            <w:r>
              <w:rPr>
                <w:rFonts w:hint="eastAsia" w:ascii="仿宋_GB2312" w:hAnsi="仿宋_GB2312" w:eastAsia="仿宋_GB2312" w:cs="仿宋_GB2312"/>
                <w:szCs w:val="21"/>
                <w:lang w:val="en-US" w:eastAsia="zh-CN"/>
              </w:rPr>
              <w:t>能力，能够</w:t>
            </w:r>
            <w:r>
              <w:rPr>
                <w:rFonts w:hint="default" w:ascii="仿宋_GB2312" w:hAnsi="仿宋_GB2312" w:eastAsia="仿宋_GB2312" w:cs="仿宋_GB2312"/>
                <w:szCs w:val="21"/>
                <w:lang w:val="en-US" w:eastAsia="zh-CN"/>
              </w:rPr>
              <w:t>根据原料的配比计算出产品的成本</w:t>
            </w:r>
            <w:r>
              <w:rPr>
                <w:rFonts w:hint="eastAsia" w:ascii="仿宋_GB2312" w:hAnsi="仿宋_GB2312" w:eastAsia="仿宋_GB2312" w:cs="仿宋_GB2312"/>
                <w:szCs w:val="21"/>
                <w:lang w:val="en-US" w:eastAsia="zh-CN"/>
              </w:rPr>
              <w:t>，能够正确核算餐饮成本，掌握餐饮工作流程中各个环节餐饮成本控制的关键点，并能够有针对性地实施成本控制</w:t>
            </w:r>
            <w:r>
              <w:rPr>
                <w:rFonts w:hint="default" w:ascii="仿宋_GB2312" w:hAnsi="仿宋_GB2312" w:eastAsia="仿宋_GB2312" w:cs="仿宋_GB2312"/>
                <w:szCs w:val="21"/>
                <w:lang w:val="en-US" w:eastAsia="zh-CN"/>
              </w:rPr>
              <w:t>，</w:t>
            </w:r>
            <w:r>
              <w:rPr>
                <w:rFonts w:hint="eastAsia" w:ascii="仿宋_GB2312" w:hAnsi="仿宋_GB2312" w:eastAsia="仿宋_GB2312" w:cs="仿宋_GB2312"/>
                <w:szCs w:val="21"/>
                <w:lang w:val="en-US" w:eastAsia="zh-CN"/>
              </w:rPr>
              <w:t>为后续其他专业课程学习打下必要基础</w:t>
            </w:r>
            <w:r>
              <w:rPr>
                <w:rFonts w:hint="default" w:ascii="仿宋_GB2312" w:hAnsi="仿宋_GB2312" w:eastAsia="仿宋_GB2312" w:cs="仿宋_GB2312"/>
                <w:szCs w:val="21"/>
                <w:lang w:val="en-US" w:eastAsia="zh-CN"/>
              </w:rPr>
              <w:t>。</w:t>
            </w:r>
          </w:p>
        </w:tc>
        <w:tc>
          <w:tcPr>
            <w:tcW w:w="56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trPr>
        <w:tc>
          <w:tcPr>
            <w:tcW w:w="32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763"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厨政管理</w:t>
            </w:r>
          </w:p>
        </w:tc>
        <w:tc>
          <w:tcPr>
            <w:tcW w:w="3353"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本课程是中西面点专业必修的专业基础课程。通过学习餐饮企业厨房的烹饪生产流程，各岗位职责及相互关系，厨房设备常识及保养知识，厨房生产管理常识，</w:t>
            </w:r>
            <w:r>
              <w:rPr>
                <w:rFonts w:hint="default" w:ascii="仿宋_GB2312" w:hAnsi="仿宋_GB2312" w:eastAsia="仿宋_GB2312" w:cs="仿宋_GB2312"/>
                <w:szCs w:val="21"/>
                <w:lang w:val="en-US" w:eastAsia="zh-CN"/>
              </w:rPr>
              <w:t>根据现在餐饮行业厨师长作为经验型管理人才，通过学习如何运用现代科学管理知识和先进技术管理厨房，</w:t>
            </w:r>
            <w:r>
              <w:rPr>
                <w:rFonts w:hint="eastAsia" w:ascii="仿宋_GB2312" w:hAnsi="仿宋_GB2312" w:eastAsia="仿宋_GB2312" w:cs="仿宋_GB2312"/>
                <w:szCs w:val="21"/>
                <w:lang w:val="en-US" w:eastAsia="zh-CN"/>
              </w:rPr>
              <w:t>使学生了解厨房管理的基本知识，提高自身综合素质和具备职业生涯不断发展的能力。</w:t>
            </w:r>
          </w:p>
        </w:tc>
        <w:tc>
          <w:tcPr>
            <w:tcW w:w="56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r>
    </w:tbl>
    <w:p>
      <w:pPr>
        <w:autoSpaceDN w:val="0"/>
        <w:adjustRightInd w:val="0"/>
        <w:snapToGrid w:val="0"/>
        <w:spacing w:line="520" w:lineRule="exact"/>
        <w:ind w:firstLine="616" w:firstLineChars="200"/>
        <w:outlineLvl w:val="2"/>
        <w:rPr>
          <w:rFonts w:hint="eastAsia" w:ascii="仿宋_GB2312" w:hAnsi="仿宋_GB2312" w:eastAsia="仿宋_GB2312" w:cs="仿宋_GB2312"/>
          <w:spacing w:val="-6"/>
          <w:sz w:val="32"/>
          <w:szCs w:val="32"/>
          <w:lang w:val="en-US" w:eastAsia="zh-CN"/>
        </w:rPr>
      </w:pPr>
      <w:bookmarkStart w:id="39" w:name="_Toc497"/>
      <w:r>
        <w:rPr>
          <w:rFonts w:hint="eastAsia" w:ascii="仿宋_GB2312" w:hAnsi="仿宋_GB2312" w:eastAsia="仿宋_GB2312" w:cs="仿宋_GB2312"/>
          <w:spacing w:val="-6"/>
          <w:sz w:val="32"/>
          <w:szCs w:val="32"/>
          <w:lang w:val="en-US" w:eastAsia="zh-CN"/>
        </w:rPr>
        <w:t>2.专业核心课程</w:t>
      </w:r>
      <w:bookmarkEnd w:id="39"/>
    </w:p>
    <w:p>
      <w:pPr>
        <w:autoSpaceDN w:val="0"/>
        <w:adjustRightInd w:val="0"/>
        <w:snapToGrid w:val="0"/>
        <w:spacing w:line="520" w:lineRule="exact"/>
        <w:ind w:firstLine="616" w:firstLineChars="200"/>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主要包括中式面点制作、西式面点制作、面包课堂、蛋糕裱花与装饰、胶东花饽饽、中西面点基本功制作等六门课程，是中西面点专业学生学习专业技能和培养专业能力的必修课程。</w:t>
      </w:r>
    </w:p>
    <w:p>
      <w:pPr>
        <w:jc w:val="center"/>
        <w:rPr>
          <w:rFonts w:hint="eastAsia" w:ascii="黑体" w:hAnsi="黑体" w:eastAsia="黑体" w:cs="黑体"/>
          <w:sz w:val="24"/>
        </w:rPr>
      </w:pPr>
      <w:r>
        <w:rPr>
          <w:rFonts w:hint="eastAsia" w:ascii="黑体" w:hAnsi="黑体" w:eastAsia="黑体" w:cs="黑体"/>
          <w:sz w:val="24"/>
        </w:rPr>
        <w:t>表5  专业核心课程主要教学内容与要求</w:t>
      </w:r>
    </w:p>
    <w:tbl>
      <w:tblPr>
        <w:tblStyle w:val="16"/>
        <w:tblW w:w="5454"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74"/>
        <w:gridCol w:w="6583"/>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6"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序号</w:t>
            </w:r>
          </w:p>
        </w:tc>
        <w:tc>
          <w:tcPr>
            <w:tcW w:w="796"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课程名称</w:t>
            </w:r>
          </w:p>
        </w:tc>
        <w:tc>
          <w:tcPr>
            <w:tcW w:w="3330"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教学内容与要求</w:t>
            </w:r>
          </w:p>
        </w:tc>
        <w:tc>
          <w:tcPr>
            <w:tcW w:w="546"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中式面点制作</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核心课程。通过学习水调、膨松、油酥、米粉及其他类面团的性质、调制方法及制坯、成型、成熟知识，使学生进一步巩固面点生产基本知识，掌握中式面点基础加工的一般工艺流程，重点掌握我国面点的流派和特征，使学生熟练掌握各种面团和馅心的调制和利用，具备餐饮企事业单位零点、中档宴会点心的制作能力，能灵活运用各种熟制方法独立完成常见基础面点的生产，能够对中华饮食文化的传承和创新起到积极助推作用。</w:t>
            </w:r>
          </w:p>
        </w:tc>
        <w:tc>
          <w:tcPr>
            <w:tcW w:w="546" w:type="pct"/>
            <w:vAlign w:val="center"/>
          </w:tcPr>
          <w:p>
            <w:pPr>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2"/>
                <w:sz w:val="21"/>
                <w:szCs w:val="21"/>
                <w:lang w:val="en-US" w:eastAsia="zh-CN" w:bidi="ar-SA"/>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西式面点制作</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核心课程。通过学习西式点心的起源、发展趋势，饼房、生产企业等西式点心生产工具、设备、环境布局，西式点心生产主辅料的性质、作用等内容，使学生了解西点历史、生产工具及设备操作要点和注意事项，掌握原料的选用、设备安全操作规范、代表产品的工艺流程和制作要点，掌握西点技能大赛行业技术规范、质量标准；具备餐饮企业、饼店常见产品生产能力和大赛作品的制作能力，能够触类旁通、博学多才，为后续其他专业课程学习打下必要基础。</w:t>
            </w:r>
          </w:p>
        </w:tc>
        <w:tc>
          <w:tcPr>
            <w:tcW w:w="54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面包课堂</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val="en-US" w:eastAsia="zh-CN"/>
              </w:rPr>
              <w:t>本课程</w:t>
            </w:r>
            <w:r>
              <w:rPr>
                <w:rFonts w:hint="default" w:ascii="仿宋_GB2312" w:hAnsi="仿宋_GB2312" w:eastAsia="仿宋_GB2312" w:cs="仿宋_GB2312"/>
                <w:szCs w:val="21"/>
                <w:lang w:val="en-US" w:eastAsia="zh-CN"/>
              </w:rPr>
              <w:t>是中西面点专业的核心课程。通过学习</w:t>
            </w:r>
            <w:r>
              <w:rPr>
                <w:rFonts w:hint="eastAsia" w:ascii="仿宋_GB2312" w:hAnsi="仿宋_GB2312" w:eastAsia="仿宋_GB2312" w:cs="仿宋_GB2312"/>
                <w:szCs w:val="21"/>
                <w:lang w:val="en-US" w:eastAsia="zh-CN"/>
              </w:rPr>
              <w:t>烘焙原料配比核</w:t>
            </w:r>
            <w:r>
              <w:rPr>
                <w:rFonts w:hint="default" w:ascii="仿宋_GB2312" w:hAnsi="仿宋_GB2312" w:eastAsia="仿宋_GB2312" w:cs="仿宋_GB2312"/>
                <w:szCs w:val="21"/>
                <w:lang w:val="en-US" w:eastAsia="zh-CN"/>
              </w:rPr>
              <w:t>算、面团的</w:t>
            </w:r>
            <w:r>
              <w:rPr>
                <w:rFonts w:hint="eastAsia" w:ascii="仿宋_GB2312" w:hAnsi="仿宋_GB2312" w:eastAsia="仿宋_GB2312" w:cs="仿宋_GB2312"/>
                <w:szCs w:val="21"/>
                <w:lang w:val="en-US" w:eastAsia="zh-CN"/>
              </w:rPr>
              <w:t>搅拌、</w:t>
            </w:r>
            <w:r>
              <w:rPr>
                <w:rFonts w:hint="default" w:ascii="仿宋_GB2312" w:hAnsi="仿宋_GB2312" w:eastAsia="仿宋_GB2312" w:cs="仿宋_GB2312"/>
                <w:szCs w:val="21"/>
                <w:lang w:val="en-US" w:eastAsia="zh-CN"/>
              </w:rPr>
              <w:t>静置、分割</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成型</w:t>
            </w:r>
            <w:r>
              <w:rPr>
                <w:rFonts w:hint="eastAsia" w:ascii="仿宋_GB2312" w:hAnsi="仿宋_GB2312" w:eastAsia="仿宋_GB2312" w:cs="仿宋_GB2312"/>
                <w:szCs w:val="21"/>
                <w:lang w:val="en-US" w:eastAsia="zh-CN"/>
              </w:rPr>
              <w:t>、醒发、烘烤</w:t>
            </w:r>
            <w:r>
              <w:rPr>
                <w:rFonts w:hint="default" w:ascii="仿宋_GB2312" w:hAnsi="仿宋_GB2312" w:eastAsia="仿宋_GB2312" w:cs="仿宋_GB2312"/>
                <w:szCs w:val="21"/>
                <w:lang w:val="en-US" w:eastAsia="zh-CN"/>
              </w:rPr>
              <w:t>、</w:t>
            </w:r>
            <w:r>
              <w:rPr>
                <w:rFonts w:hint="eastAsia" w:ascii="仿宋_GB2312" w:hAnsi="仿宋_GB2312" w:eastAsia="仿宋_GB2312" w:cs="仿宋_GB2312"/>
                <w:szCs w:val="21"/>
                <w:lang w:val="en-US" w:eastAsia="zh-CN"/>
              </w:rPr>
              <w:t>品质鉴定</w:t>
            </w:r>
            <w:r>
              <w:rPr>
                <w:rFonts w:hint="default" w:ascii="仿宋_GB2312" w:hAnsi="仿宋_GB2312" w:eastAsia="仿宋_GB2312" w:cs="仿宋_GB2312"/>
                <w:szCs w:val="21"/>
                <w:lang w:val="en-US" w:eastAsia="zh-CN"/>
              </w:rPr>
              <w:t>等面包制作的工艺流程</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使</w:t>
            </w:r>
            <w:r>
              <w:rPr>
                <w:rFonts w:hint="eastAsia" w:ascii="仿宋_GB2312" w:hAnsi="仿宋_GB2312" w:eastAsia="仿宋_GB2312" w:cs="仿宋_GB2312"/>
                <w:szCs w:val="21"/>
                <w:lang w:val="en-US" w:eastAsia="zh-CN"/>
              </w:rPr>
              <w:t>学生能够按照正确的面包制作工艺流程和操作手法完成面包的制作，</w:t>
            </w:r>
            <w:r>
              <w:rPr>
                <w:rFonts w:hint="default" w:ascii="仿宋_GB2312" w:hAnsi="仿宋_GB2312" w:eastAsia="仿宋_GB2312" w:cs="仿宋_GB2312"/>
                <w:szCs w:val="21"/>
                <w:lang w:val="en-US" w:eastAsia="zh-CN"/>
              </w:rPr>
              <w:t>掌握面包成型、面包发酵、面包烘烤的标准操作</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培养学生面包师的专业素养和独立完成面包制作的能力</w:t>
            </w:r>
            <w:r>
              <w:rPr>
                <w:rFonts w:hint="eastAsia" w:ascii="仿宋_GB2312" w:hAnsi="仿宋_GB2312" w:eastAsia="仿宋_GB2312" w:cs="仿宋_GB2312"/>
                <w:szCs w:val="21"/>
                <w:lang w:val="en-US" w:eastAsia="zh-CN"/>
              </w:rPr>
              <w:t>，为后续其他专业课程学习打下必要基础。</w:t>
            </w:r>
          </w:p>
        </w:tc>
        <w:tc>
          <w:tcPr>
            <w:tcW w:w="54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蛋糕裱花与</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装饰</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w:t>
            </w:r>
            <w:r>
              <w:rPr>
                <w:rFonts w:hint="default" w:ascii="仿宋_GB2312" w:hAnsi="仿宋_GB2312" w:eastAsia="仿宋_GB2312" w:cs="仿宋_GB2312"/>
                <w:szCs w:val="21"/>
                <w:lang w:val="en-US" w:eastAsia="zh-CN"/>
              </w:rPr>
              <w:t>是中西面点专业的核心课程。通过学习裱花工具，</w:t>
            </w:r>
            <w:r>
              <w:rPr>
                <w:rFonts w:hint="eastAsia" w:ascii="仿宋_GB2312" w:hAnsi="仿宋_GB2312" w:eastAsia="仿宋_GB2312" w:cs="仿宋_GB2312"/>
                <w:szCs w:val="21"/>
                <w:lang w:val="en-US" w:eastAsia="zh-CN"/>
              </w:rPr>
              <w:t>色彩搭配、</w:t>
            </w:r>
            <w:r>
              <w:rPr>
                <w:rFonts w:hint="default" w:ascii="仿宋_GB2312" w:hAnsi="仿宋_GB2312" w:eastAsia="仿宋_GB2312" w:cs="仿宋_GB2312"/>
                <w:szCs w:val="21"/>
                <w:lang w:val="en-US" w:eastAsia="zh-CN"/>
              </w:rPr>
              <w:t>基础花边裱法、奶油花朵裱法，抹面、韩式裱花原料调制、韩式裱花、蛋糕组装等蛋糕装饰的工艺流程</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使</w:t>
            </w:r>
            <w:r>
              <w:rPr>
                <w:rFonts w:hint="eastAsia" w:ascii="仿宋_GB2312" w:hAnsi="仿宋_GB2312" w:eastAsia="仿宋_GB2312" w:cs="仿宋_GB2312"/>
                <w:szCs w:val="21"/>
                <w:lang w:val="en-US" w:eastAsia="zh-CN"/>
              </w:rPr>
              <w:t>学生能够按照正确的</w:t>
            </w:r>
            <w:r>
              <w:rPr>
                <w:rFonts w:hint="default" w:ascii="仿宋_GB2312" w:hAnsi="仿宋_GB2312" w:eastAsia="仿宋_GB2312" w:cs="仿宋_GB2312"/>
                <w:szCs w:val="21"/>
                <w:lang w:val="en-US" w:eastAsia="zh-CN"/>
              </w:rPr>
              <w:t>蛋糕装饰</w:t>
            </w:r>
            <w:r>
              <w:rPr>
                <w:rFonts w:hint="eastAsia" w:ascii="仿宋_GB2312" w:hAnsi="仿宋_GB2312" w:eastAsia="仿宋_GB2312" w:cs="仿宋_GB2312"/>
                <w:szCs w:val="21"/>
                <w:lang w:val="en-US" w:eastAsia="zh-CN"/>
              </w:rPr>
              <w:t>工艺流程和操作手法完成</w:t>
            </w:r>
            <w:r>
              <w:rPr>
                <w:rFonts w:hint="default" w:ascii="仿宋_GB2312" w:hAnsi="仿宋_GB2312" w:eastAsia="仿宋_GB2312" w:cs="仿宋_GB2312"/>
                <w:szCs w:val="21"/>
                <w:lang w:val="en-US" w:eastAsia="zh-CN"/>
              </w:rPr>
              <w:t>蛋糕</w:t>
            </w:r>
            <w:r>
              <w:rPr>
                <w:rFonts w:hint="eastAsia" w:ascii="仿宋_GB2312" w:hAnsi="仿宋_GB2312" w:eastAsia="仿宋_GB2312" w:cs="仿宋_GB2312"/>
                <w:szCs w:val="21"/>
                <w:lang w:val="en-US" w:eastAsia="zh-CN"/>
              </w:rPr>
              <w:t>的制作，</w:t>
            </w:r>
            <w:r>
              <w:rPr>
                <w:rFonts w:hint="default" w:ascii="仿宋_GB2312" w:hAnsi="仿宋_GB2312" w:eastAsia="仿宋_GB2312" w:cs="仿宋_GB2312"/>
                <w:szCs w:val="21"/>
                <w:lang w:val="en-US" w:eastAsia="zh-CN"/>
              </w:rPr>
              <w:t>掌握基础花边、奶油裱花、豆沙裱花的手法</w:t>
            </w:r>
            <w:r>
              <w:rPr>
                <w:rFonts w:hint="eastAsia" w:ascii="仿宋_GB2312" w:hAnsi="仿宋_GB2312" w:eastAsia="仿宋_GB2312" w:cs="仿宋_GB2312"/>
                <w:szCs w:val="21"/>
                <w:lang w:val="en-US" w:eastAsia="zh-CN"/>
              </w:rPr>
              <w:t>，具备</w:t>
            </w:r>
            <w:r>
              <w:rPr>
                <w:rFonts w:hint="default" w:ascii="仿宋_GB2312" w:hAnsi="仿宋_GB2312" w:eastAsia="仿宋_GB2312" w:cs="仿宋_GB2312"/>
                <w:szCs w:val="21"/>
                <w:lang w:val="en-US" w:eastAsia="zh-CN"/>
              </w:rPr>
              <w:t>裱花师岗位的基本能力</w:t>
            </w:r>
            <w:r>
              <w:rPr>
                <w:rFonts w:hint="eastAsia" w:ascii="仿宋_GB2312" w:hAnsi="仿宋_GB2312" w:eastAsia="仿宋_GB2312" w:cs="仿宋_GB2312"/>
                <w:szCs w:val="21"/>
                <w:lang w:val="en-US" w:eastAsia="zh-CN"/>
              </w:rPr>
              <w:t>，能够对</w:t>
            </w:r>
            <w:r>
              <w:rPr>
                <w:rFonts w:hint="default" w:ascii="仿宋_GB2312" w:hAnsi="仿宋_GB2312" w:eastAsia="仿宋_GB2312" w:cs="仿宋_GB2312"/>
                <w:szCs w:val="21"/>
                <w:lang w:val="en-US" w:eastAsia="zh-CN"/>
              </w:rPr>
              <w:t>独立完成蛋糕的裱花与装饰，根据市场需求积极创新，高质量发展新产品</w:t>
            </w:r>
            <w:r>
              <w:rPr>
                <w:rFonts w:hint="eastAsia" w:ascii="仿宋_GB2312" w:hAnsi="仿宋_GB2312" w:eastAsia="仿宋_GB2312" w:cs="仿宋_GB2312"/>
                <w:szCs w:val="21"/>
                <w:lang w:val="en-US" w:eastAsia="zh-CN"/>
              </w:rPr>
              <w:t>，为后续其他专业课程学习打下必要基础</w:t>
            </w:r>
            <w:r>
              <w:rPr>
                <w:rFonts w:hint="default" w:ascii="仿宋_GB2312" w:hAnsi="仿宋_GB2312" w:eastAsia="仿宋_GB2312" w:cs="仿宋_GB2312"/>
                <w:szCs w:val="21"/>
                <w:lang w:val="en-US" w:eastAsia="zh-CN"/>
              </w:rPr>
              <w:t>。</w:t>
            </w:r>
          </w:p>
        </w:tc>
        <w:tc>
          <w:tcPr>
            <w:tcW w:w="54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花饽饽制作</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w:t>
            </w:r>
            <w:r>
              <w:rPr>
                <w:rFonts w:hint="default" w:ascii="仿宋_GB2312" w:hAnsi="仿宋_GB2312" w:eastAsia="仿宋_GB2312" w:cs="仿宋_GB2312"/>
                <w:szCs w:val="21"/>
                <w:lang w:val="en-US" w:eastAsia="zh-CN"/>
              </w:rPr>
              <w:t>中西面点</w:t>
            </w:r>
            <w:r>
              <w:rPr>
                <w:rFonts w:hint="eastAsia" w:ascii="仿宋_GB2312" w:hAnsi="仿宋_GB2312" w:eastAsia="仿宋_GB2312" w:cs="仿宋_GB2312"/>
                <w:szCs w:val="21"/>
                <w:lang w:val="en-US" w:eastAsia="zh-CN"/>
              </w:rPr>
              <w:t>专业必修的专业核心课程。通过学习</w:t>
            </w:r>
            <w:r>
              <w:rPr>
                <w:rFonts w:hint="default" w:ascii="仿宋_GB2312" w:hAnsi="仿宋_GB2312" w:eastAsia="仿宋_GB2312" w:cs="仿宋_GB2312"/>
                <w:szCs w:val="21"/>
                <w:lang w:val="en-US" w:eastAsia="zh-CN"/>
              </w:rPr>
              <w:t>花饽饽传承的历史和民俗文化，使学生了解山东地域的特色民俗面食和相关民俗仪式活动；通过学习制作蒿酵、运用天然食用色素原料调色、揉、搓、捏、剪、压、刻等手法使同学们掌握花饽饽制作的传统技艺技法，具备根据客户需求制作花饽饽组合的能力和根据市场发展趋势挖掘新原料、开发新产品的能力，</w:t>
            </w:r>
            <w:r>
              <w:rPr>
                <w:rFonts w:hint="eastAsia" w:ascii="仿宋_GB2312" w:hAnsi="仿宋_GB2312" w:eastAsia="仿宋_GB2312" w:cs="仿宋_GB2312"/>
                <w:szCs w:val="21"/>
                <w:lang w:val="en-US" w:eastAsia="zh-CN"/>
              </w:rPr>
              <w:t>为后续其他专业课程学习打下必要基础</w:t>
            </w:r>
            <w:r>
              <w:rPr>
                <w:rFonts w:hint="default" w:ascii="仿宋_GB2312" w:hAnsi="仿宋_GB2312" w:eastAsia="仿宋_GB2312" w:cs="仿宋_GB2312"/>
                <w:szCs w:val="21"/>
                <w:lang w:val="en-US" w:eastAsia="zh-CN"/>
              </w:rPr>
              <w:t>。</w:t>
            </w:r>
          </w:p>
        </w:tc>
        <w:tc>
          <w:tcPr>
            <w:tcW w:w="54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32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79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中西面点</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基本功</w:t>
            </w:r>
          </w:p>
        </w:tc>
        <w:tc>
          <w:tcPr>
            <w:tcW w:w="3330"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核心课程。通过学习面点制作基础知识、面团调制原理、常用面团调制方法、制馅技艺、成型技艺、成熟技艺等内容，使学生了解中西面点专业所必需的文化知识，掌握中西面点现代烹饪专业理论知识， 遵守餐饮业、食品制造业操作规范，能够为后续应用不同的技术手法，独立制作各式面点，为学生继续提高技艺和适应职业转换奠定必要的知识和能力基础；达到中级面点师资格证书的基本要求，为后续其他专业课程学习打下必要基础</w:t>
            </w:r>
            <w:r>
              <w:rPr>
                <w:rFonts w:hint="default" w:ascii="仿宋_GB2312" w:hAnsi="仿宋_GB2312" w:eastAsia="仿宋_GB2312" w:cs="仿宋_GB2312"/>
                <w:szCs w:val="21"/>
                <w:lang w:val="en-US" w:eastAsia="zh-CN"/>
              </w:rPr>
              <w:t>。</w:t>
            </w:r>
          </w:p>
        </w:tc>
        <w:tc>
          <w:tcPr>
            <w:tcW w:w="546"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54</w:t>
            </w:r>
          </w:p>
        </w:tc>
      </w:tr>
    </w:tbl>
    <w:p>
      <w:pPr>
        <w:autoSpaceDN w:val="0"/>
        <w:adjustRightInd w:val="0"/>
        <w:snapToGrid w:val="0"/>
        <w:spacing w:line="520" w:lineRule="exact"/>
        <w:ind w:firstLine="616" w:firstLineChars="200"/>
        <w:outlineLvl w:val="2"/>
        <w:rPr>
          <w:rFonts w:hint="eastAsia" w:ascii="仿宋_GB2312" w:hAnsi="仿宋_GB2312" w:eastAsia="仿宋_GB2312" w:cs="仿宋_GB2312"/>
          <w:spacing w:val="-6"/>
          <w:sz w:val="32"/>
          <w:szCs w:val="32"/>
          <w:lang w:val="en-US" w:eastAsia="zh-CN"/>
        </w:rPr>
      </w:pPr>
      <w:bookmarkStart w:id="40" w:name="_Toc23797"/>
    </w:p>
    <w:p>
      <w:pPr>
        <w:autoSpaceDN w:val="0"/>
        <w:adjustRightInd w:val="0"/>
        <w:snapToGrid w:val="0"/>
        <w:spacing w:line="520" w:lineRule="exact"/>
        <w:ind w:firstLine="616" w:firstLineChars="200"/>
        <w:outlineLvl w:val="2"/>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3.专业拓展课程</w:t>
      </w:r>
      <w:bookmarkEnd w:id="40"/>
    </w:p>
    <w:p>
      <w:pPr>
        <w:autoSpaceDN w:val="0"/>
        <w:adjustRightInd w:val="0"/>
        <w:snapToGrid w:val="0"/>
        <w:spacing w:line="520" w:lineRule="exact"/>
        <w:ind w:firstLine="616" w:firstLineChars="200"/>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主要包括面塑、烹饪工艺美术、智能烹饪基础、风味小吃制作、中西名点赏析与制作等五门专业拓展课程。</w:t>
      </w:r>
    </w:p>
    <w:p>
      <w:pPr>
        <w:pStyle w:val="4"/>
        <w:snapToGrid w:val="0"/>
        <w:spacing w:line="520" w:lineRule="exact"/>
        <w:ind w:firstLine="0" w:firstLineChars="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表6 专业拓展课程主要教学内容与要求</w:t>
      </w:r>
    </w:p>
    <w:tbl>
      <w:tblPr>
        <w:tblStyle w:val="16"/>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4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序号</w:t>
            </w:r>
          </w:p>
        </w:tc>
        <w:tc>
          <w:tcPr>
            <w:tcW w:w="751"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课程名称</w:t>
            </w:r>
          </w:p>
        </w:tc>
        <w:tc>
          <w:tcPr>
            <w:tcW w:w="3392"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教学内容与要求</w:t>
            </w:r>
          </w:p>
        </w:tc>
        <w:tc>
          <w:tcPr>
            <w:tcW w:w="534"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32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75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面塑</w:t>
            </w:r>
          </w:p>
        </w:tc>
        <w:tc>
          <w:tcPr>
            <w:tcW w:w="3392" w:type="pct"/>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本课程是中西面点专业必修的专业拓展课程。通过学习面塑的基本常识和历史，学习面塑面团调制、着色、造型方法等内容，使学生感受面塑的艺术的独特魅力，提高学生的审美、 观察和创造能力，使学生具有对形态的敏感性；能够培养学生独立思考、 动手动脑的能力，为后续其他专业课程学习打下必要基础。</w:t>
            </w:r>
          </w:p>
        </w:tc>
        <w:tc>
          <w:tcPr>
            <w:tcW w:w="53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32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75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烹饪工艺美术</w:t>
            </w:r>
          </w:p>
        </w:tc>
        <w:tc>
          <w:tcPr>
            <w:tcW w:w="3392"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拓展课程。通过学习烹饪美学发展史、烹饪工艺造型原理、烹饪色彩、烹饪造型美的法则、食品图案的艺术形式、食品造型艺术、烹饪器具造型艺术、餐饮环境风格与审美、烹饪造型艺术与赏析等内容，使学生了解中西面点美学基础知识；掌握美学理论，烹饪色彩搭配，点心造型、图案设计原则以及中西点心综合造型原则及基本方法；具备基本的点心色彩搭配和造型构造能力，能够在日常工作中进行合理的色彩搭配，基本造型设计、根据要求及产品选择器具，并有继续学习的能力，为后续其他专业课程学习打下必要基础。</w:t>
            </w:r>
          </w:p>
        </w:tc>
        <w:tc>
          <w:tcPr>
            <w:tcW w:w="53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trPr>
        <w:tc>
          <w:tcPr>
            <w:tcW w:w="32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75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智能烹饪基础</w:t>
            </w:r>
          </w:p>
        </w:tc>
        <w:tc>
          <w:tcPr>
            <w:tcW w:w="3392" w:type="pct"/>
          </w:tcPr>
          <w:p>
            <w:pPr>
              <w:keepNext w:val="0"/>
              <w:keepLines w:val="0"/>
              <w:pageBreakBefore w:val="0"/>
              <w:widowControl w:val="0"/>
              <w:kinsoku/>
              <w:wordWrap/>
              <w:overflowPunct/>
              <w:topLinePunct w:val="0"/>
              <w:bidi w:val="0"/>
              <w:spacing w:line="360" w:lineRule="exact"/>
              <w:ind w:firstLine="420" w:firstLineChars="200"/>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w:t>
            </w:r>
            <w:r>
              <w:rPr>
                <w:rFonts w:hint="default" w:ascii="仿宋_GB2312" w:hAnsi="仿宋_GB2312" w:eastAsia="仿宋_GB2312" w:cs="仿宋_GB2312"/>
                <w:szCs w:val="21"/>
                <w:lang w:val="en-US" w:eastAsia="zh-CN"/>
              </w:rPr>
              <w:t>中西面点</w:t>
            </w:r>
            <w:r>
              <w:rPr>
                <w:rFonts w:hint="eastAsia" w:ascii="仿宋_GB2312" w:hAnsi="仿宋_GB2312" w:eastAsia="仿宋_GB2312" w:cs="仿宋_GB2312"/>
                <w:szCs w:val="21"/>
                <w:lang w:val="en-US" w:eastAsia="zh-CN"/>
              </w:rPr>
              <w:t>专业必修的专业</w:t>
            </w:r>
            <w:r>
              <w:rPr>
                <w:rFonts w:hint="default" w:ascii="仿宋_GB2312" w:hAnsi="仿宋_GB2312" w:eastAsia="仿宋_GB2312" w:cs="仿宋_GB2312"/>
                <w:szCs w:val="21"/>
                <w:lang w:val="en-US" w:eastAsia="zh-CN"/>
              </w:rPr>
              <w:t>拓展</w:t>
            </w:r>
            <w:r>
              <w:rPr>
                <w:rFonts w:hint="eastAsia" w:ascii="仿宋_GB2312" w:hAnsi="仿宋_GB2312" w:eastAsia="仿宋_GB2312" w:cs="仿宋_GB2312"/>
                <w:szCs w:val="21"/>
                <w:lang w:val="en-US" w:eastAsia="zh-CN"/>
              </w:rPr>
              <w:t>课程。通过学习</w:t>
            </w:r>
            <w:r>
              <w:rPr>
                <w:rFonts w:hint="default" w:ascii="仿宋_GB2312" w:hAnsi="仿宋_GB2312" w:eastAsia="仿宋_GB2312" w:cs="仿宋_GB2312"/>
                <w:szCs w:val="21"/>
                <w:lang w:val="en-US" w:eastAsia="zh-CN"/>
              </w:rPr>
              <w:t>烹调基知识和食品安全和卫生知识，使学生了解食材的分类、调味品的种类、工具的使用方法和烹调原理等，建立食材、调料与烹饪方式的基本搭配规律以及食品安全方面的基本知识和注意事项，拿握食品存和加工的卫生管理方法，避免食品中毒或传染病等食品了解健康饮食知识和健康的饮食习惯和营养平衡的原则，掌握食品的营养分析及食物搭配的要点；通过学习基本烹饪技能和智能烹饪设备和技术:掌握面点基本烹饪技能，了解基本烹饪原理和食材处理的要点并了解智能烹饪设备的种类、操作方法和注意事项，掌握智能烹饪技术及其应用，</w:t>
            </w:r>
            <w:r>
              <w:rPr>
                <w:rFonts w:hint="eastAsia" w:ascii="仿宋_GB2312" w:hAnsi="仿宋_GB2312" w:eastAsia="仿宋_GB2312" w:cs="仿宋_GB2312"/>
                <w:szCs w:val="21"/>
                <w:lang w:val="en-US" w:eastAsia="zh-CN"/>
              </w:rPr>
              <w:t>为后续其他专业课程学习打下必要基础。</w:t>
            </w:r>
          </w:p>
        </w:tc>
        <w:tc>
          <w:tcPr>
            <w:tcW w:w="53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2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75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风味小吃制作</w:t>
            </w:r>
          </w:p>
        </w:tc>
        <w:tc>
          <w:tcPr>
            <w:tcW w:w="3392"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本课程是中西面点专业必修的专业拓展课程。通过学习全国各地具有代表性的风味小吃制作方法、传统文化知识、制作原理等内容，使学生了解全国风味小吃的文化、内涵、特色、技法等，掌握著名风味小吃的操作技法，具备基本的风味小吃制作和一定的新原料、新技法利用能力，能够不断地学习，为后续其他专业课程学习打下必要基础。</w:t>
            </w:r>
          </w:p>
        </w:tc>
        <w:tc>
          <w:tcPr>
            <w:tcW w:w="53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320"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751"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中外名点赏析与制作</w:t>
            </w:r>
          </w:p>
        </w:tc>
        <w:tc>
          <w:tcPr>
            <w:tcW w:w="3392" w:type="pct"/>
            <w:vAlign w:val="center"/>
          </w:tcPr>
          <w:p>
            <w:pPr>
              <w:keepNext w:val="0"/>
              <w:keepLines w:val="0"/>
              <w:pageBreakBefore w:val="0"/>
              <w:widowControl w:val="0"/>
              <w:kinsoku/>
              <w:wordWrap/>
              <w:overflowPunct/>
              <w:topLinePunct w:val="0"/>
              <w:bidi w:val="0"/>
              <w:spacing w:line="36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本课程是中西面点专业必修的专业拓展课程。通过学习各地名点概述以及五大类面团名点制作技术与赏析等内容，使学生了解各地名点成名的原因、起源典故，掌握各类型名点成名原因、五大类面团名点及其馅心的制作方法，具备制作各色基础名点的能力，能够继承和发扬中华民族传统美食并掌握其制作原理，为后续其他专业课程学习打下必要基础。</w:t>
            </w:r>
          </w:p>
        </w:tc>
        <w:tc>
          <w:tcPr>
            <w:tcW w:w="53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72</w:t>
            </w:r>
          </w:p>
        </w:tc>
      </w:tr>
    </w:tbl>
    <w:p>
      <w:pPr>
        <w:autoSpaceDN w:val="0"/>
        <w:adjustRightInd w:val="0"/>
        <w:snapToGrid w:val="0"/>
        <w:spacing w:line="520" w:lineRule="exact"/>
        <w:ind w:firstLine="616" w:firstLineChars="200"/>
        <w:outlineLvl w:val="2"/>
        <w:rPr>
          <w:rFonts w:hint="eastAsia" w:ascii="仿宋_GB2312" w:hAnsi="仿宋_GB2312" w:eastAsia="仿宋_GB2312" w:cs="仿宋_GB2312"/>
          <w:spacing w:val="-6"/>
          <w:sz w:val="32"/>
          <w:szCs w:val="32"/>
          <w:lang w:val="en-US" w:eastAsia="zh-CN"/>
        </w:rPr>
      </w:pPr>
      <w:bookmarkStart w:id="41" w:name="_Toc9230"/>
      <w:r>
        <w:rPr>
          <w:rFonts w:hint="eastAsia" w:ascii="仿宋_GB2312" w:hAnsi="仿宋_GB2312" w:eastAsia="仿宋_GB2312" w:cs="仿宋_GB2312"/>
          <w:spacing w:val="-6"/>
          <w:sz w:val="32"/>
          <w:szCs w:val="32"/>
          <w:lang w:val="en-US" w:eastAsia="zh-CN"/>
        </w:rPr>
        <w:t>4.实习实训</w:t>
      </w:r>
      <w:bookmarkEnd w:id="41"/>
    </w:p>
    <w:p>
      <w:pPr>
        <w:autoSpaceDN w:val="0"/>
        <w:adjustRightInd w:val="0"/>
        <w:snapToGrid w:val="0"/>
        <w:spacing w:line="520" w:lineRule="exact"/>
        <w:ind w:firstLine="616" w:firstLineChars="200"/>
        <w:rPr>
          <w:rFonts w:hint="eastAsia" w:ascii="黑体" w:hAnsi="黑体" w:eastAsia="黑体" w:cs="黑体"/>
          <w:kern w:val="2"/>
          <w:sz w:val="24"/>
          <w:szCs w:val="24"/>
          <w:lang w:val="en-US" w:eastAsia="zh-CN" w:bidi="ar-SA"/>
        </w:rPr>
      </w:pPr>
      <w:r>
        <w:rPr>
          <w:rFonts w:hint="eastAsia" w:ascii="仿宋_GB2312" w:hAnsi="仿宋_GB2312" w:eastAsia="仿宋_GB2312" w:cs="仿宋_GB2312"/>
          <w:spacing w:val="-6"/>
          <w:sz w:val="32"/>
          <w:szCs w:val="32"/>
          <w:lang w:val="en-US" w:eastAsia="zh-CN"/>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中西面点专业岗位实习标准》，保证学生实习岗位与其所学专业面向的岗位（群）基本一致，内容符合标准要求。</w:t>
      </w:r>
    </w:p>
    <w:p>
      <w:pPr>
        <w:pStyle w:val="4"/>
        <w:adjustRightInd w:val="0"/>
        <w:snapToGrid w:val="0"/>
        <w:spacing w:line="500" w:lineRule="exact"/>
        <w:ind w:firstLine="0" w:firstLineChars="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表7  实习实训主要教学内容与要求</w:t>
      </w:r>
    </w:p>
    <w:tbl>
      <w:tblPr>
        <w:tblStyle w:val="16"/>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500"/>
        <w:gridCol w:w="3542"/>
        <w:gridCol w:w="1335"/>
        <w:gridCol w:w="131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2"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序号</w:t>
            </w:r>
          </w:p>
        </w:tc>
        <w:tc>
          <w:tcPr>
            <w:tcW w:w="802"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项目</w:t>
            </w:r>
          </w:p>
        </w:tc>
        <w:tc>
          <w:tcPr>
            <w:tcW w:w="1895"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教学内容与要求</w:t>
            </w:r>
          </w:p>
        </w:tc>
        <w:tc>
          <w:tcPr>
            <w:tcW w:w="714"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地点</w:t>
            </w:r>
          </w:p>
        </w:tc>
        <w:tc>
          <w:tcPr>
            <w:tcW w:w="705"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学期</w:t>
            </w:r>
          </w:p>
        </w:tc>
        <w:tc>
          <w:tcPr>
            <w:tcW w:w="528" w:type="pct"/>
            <w:vAlign w:val="center"/>
          </w:tcPr>
          <w:p>
            <w:pPr>
              <w:jc w:val="center"/>
              <w:rPr>
                <w:rFonts w:hint="eastAsia" w:ascii="黑体" w:hAnsi="黑体" w:eastAsia="黑体" w:cs="黑体"/>
                <w:szCs w:val="21"/>
                <w:lang w:val="en-US" w:eastAsia="zh-CN"/>
              </w:rPr>
            </w:pPr>
            <w:r>
              <w:rPr>
                <w:rFonts w:hint="eastAsia" w:ascii="黑体" w:hAnsi="黑体" w:eastAsia="黑体" w:cs="黑体"/>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35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80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认识实习</w:t>
            </w:r>
          </w:p>
        </w:tc>
        <w:tc>
          <w:tcPr>
            <w:tcW w:w="1895" w:type="pct"/>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w:t>
            </w:r>
            <w:r>
              <w:rPr>
                <w:rFonts w:hint="eastAsia" w:ascii="仿宋_GB2312" w:hAnsi="仿宋_GB2312" w:eastAsia="仿宋_GB2312" w:cs="仿宋_GB2312"/>
                <w:szCs w:val="21"/>
                <w:lang w:eastAsia="zh-CN"/>
              </w:rPr>
              <w:t>餐饮及食品制造类企业中西面点各</w:t>
            </w:r>
            <w:r>
              <w:rPr>
                <w:rFonts w:hint="eastAsia" w:ascii="仿宋_GB2312" w:hAnsi="仿宋_GB2312" w:eastAsia="仿宋_GB2312" w:cs="仿宋_GB2312"/>
                <w:szCs w:val="21"/>
              </w:rPr>
              <w:t>岗位的工作环境和要求，增强对未来职业岗位的感性认识，激发学生专业兴趣和培养专业情感。</w:t>
            </w:r>
          </w:p>
        </w:tc>
        <w:tc>
          <w:tcPr>
            <w:tcW w:w="71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校企</w:t>
            </w:r>
          </w:p>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合作企业</w:t>
            </w:r>
          </w:p>
        </w:tc>
        <w:tc>
          <w:tcPr>
            <w:tcW w:w="705"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第1学期</w:t>
            </w:r>
          </w:p>
        </w:tc>
        <w:tc>
          <w:tcPr>
            <w:tcW w:w="528"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35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2</w:t>
            </w:r>
          </w:p>
        </w:tc>
        <w:tc>
          <w:tcPr>
            <w:tcW w:w="80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eastAsia="zh-CN"/>
              </w:rPr>
              <w:t>中西面点制作</w:t>
            </w:r>
            <w:r>
              <w:rPr>
                <w:rFonts w:hint="eastAsia" w:ascii="仿宋_GB2312" w:hAnsi="仿宋_GB2312" w:eastAsia="仿宋_GB2312" w:cs="仿宋_GB2312"/>
                <w:szCs w:val="21"/>
              </w:rPr>
              <w:t>综合实训</w:t>
            </w:r>
          </w:p>
        </w:tc>
        <w:tc>
          <w:tcPr>
            <w:tcW w:w="1895" w:type="pct"/>
            <w:vAlign w:val="top"/>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通过</w:t>
            </w:r>
            <w:r>
              <w:rPr>
                <w:rFonts w:hint="eastAsia" w:ascii="仿宋_GB2312" w:hAnsi="仿宋_GB2312" w:eastAsia="仿宋_GB2312" w:cs="仿宋_GB2312"/>
                <w:szCs w:val="21"/>
                <w:lang w:eastAsia="zh-CN"/>
              </w:rPr>
              <w:t>中西面点制作</w:t>
            </w:r>
            <w:r>
              <w:rPr>
                <w:rFonts w:hint="eastAsia" w:ascii="仿宋_GB2312" w:hAnsi="仿宋_GB2312" w:eastAsia="仿宋_GB2312" w:cs="仿宋_GB2312"/>
                <w:szCs w:val="21"/>
              </w:rPr>
              <w:t>综合实训，使学生了解</w:t>
            </w:r>
            <w:r>
              <w:rPr>
                <w:rFonts w:hint="default" w:ascii="仿宋_GB2312" w:hAnsi="仿宋_GB2312" w:eastAsia="仿宋_GB2312" w:cs="仿宋_GB2312"/>
                <w:szCs w:val="21"/>
              </w:rPr>
              <w:t>面包</w:t>
            </w:r>
            <w:r>
              <w:rPr>
                <w:rFonts w:hint="eastAsia" w:ascii="仿宋_GB2312" w:hAnsi="仿宋_GB2312" w:eastAsia="仿宋_GB2312" w:cs="仿宋_GB2312"/>
                <w:szCs w:val="21"/>
              </w:rPr>
              <w:t>制作的选料、制作工艺原理和基本</w:t>
            </w:r>
            <w:r>
              <w:rPr>
                <w:rFonts w:hint="default" w:ascii="仿宋_GB2312" w:hAnsi="仿宋_GB2312" w:eastAsia="仿宋_GB2312" w:cs="仿宋_GB2312"/>
                <w:szCs w:val="21"/>
              </w:rPr>
              <w:t>操作手法</w:t>
            </w:r>
            <w:r>
              <w:rPr>
                <w:rFonts w:hint="eastAsia" w:ascii="仿宋_GB2312" w:hAnsi="仿宋_GB2312" w:eastAsia="仿宋_GB2312" w:cs="仿宋_GB2312"/>
                <w:szCs w:val="21"/>
              </w:rPr>
              <w:t>等相关知识； 通过教师示范和学生动手操作，</w:t>
            </w:r>
            <w:r>
              <w:rPr>
                <w:rFonts w:hint="default" w:ascii="仿宋_GB2312" w:hAnsi="仿宋_GB2312" w:eastAsia="仿宋_GB2312" w:cs="仿宋_GB2312"/>
                <w:szCs w:val="21"/>
              </w:rPr>
              <w:t>结合具体的教学品种，</w:t>
            </w:r>
            <w:r>
              <w:rPr>
                <w:rFonts w:hint="eastAsia" w:ascii="仿宋_GB2312" w:hAnsi="仿宋_GB2312" w:eastAsia="仿宋_GB2312" w:cs="仿宋_GB2312"/>
                <w:szCs w:val="21"/>
              </w:rPr>
              <w:t>掌握</w:t>
            </w:r>
            <w:r>
              <w:rPr>
                <w:rFonts w:hint="default" w:ascii="仿宋_GB2312" w:hAnsi="仿宋_GB2312" w:eastAsia="仿宋_GB2312" w:cs="仿宋_GB2312"/>
                <w:szCs w:val="21"/>
              </w:rPr>
              <w:t>餐饮、食品制造等企业岗位操作能力</w:t>
            </w:r>
            <w:r>
              <w:rPr>
                <w:rFonts w:hint="eastAsia" w:ascii="仿宋_GB2312" w:hAnsi="仿宋_GB2312" w:eastAsia="仿宋_GB2312" w:cs="仿宋_GB2312"/>
                <w:szCs w:val="21"/>
              </w:rPr>
              <w:t>，具备</w:t>
            </w:r>
            <w:r>
              <w:rPr>
                <w:rFonts w:hint="default" w:ascii="仿宋_GB2312" w:hAnsi="仿宋_GB2312" w:eastAsia="仿宋_GB2312" w:cs="仿宋_GB2312"/>
                <w:szCs w:val="21"/>
              </w:rPr>
              <w:t>完成基本生产任务和解决一般生产问题的</w:t>
            </w:r>
            <w:r>
              <w:rPr>
                <w:rFonts w:hint="eastAsia" w:ascii="仿宋_GB2312" w:hAnsi="仿宋_GB2312" w:eastAsia="仿宋_GB2312" w:cs="仿宋_GB2312"/>
                <w:szCs w:val="21"/>
              </w:rPr>
              <w:t>能力，能够</w:t>
            </w:r>
            <w:r>
              <w:rPr>
                <w:rFonts w:hint="default" w:ascii="仿宋_GB2312" w:hAnsi="仿宋_GB2312" w:eastAsia="仿宋_GB2312" w:cs="仿宋_GB2312"/>
                <w:szCs w:val="21"/>
              </w:rPr>
              <w:t>按操作规范和要求生产产品</w:t>
            </w:r>
            <w:r>
              <w:rPr>
                <w:rFonts w:hint="eastAsia" w:ascii="仿宋_GB2312" w:hAnsi="仿宋_GB2312" w:eastAsia="仿宋_GB2312" w:cs="仿宋_GB2312"/>
                <w:szCs w:val="21"/>
              </w:rPr>
              <w:t>，全面提升学生解决实训中遇到的实际问题能力。</w:t>
            </w:r>
          </w:p>
        </w:tc>
        <w:tc>
          <w:tcPr>
            <w:tcW w:w="71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default" w:ascii="仿宋_GB2312" w:hAnsi="仿宋_GB2312" w:eastAsia="仿宋_GB2312" w:cs="仿宋_GB2312"/>
                <w:szCs w:val="21"/>
              </w:rPr>
              <w:t>西点</w:t>
            </w:r>
            <w:r>
              <w:rPr>
                <w:rFonts w:hint="eastAsia" w:ascii="仿宋_GB2312" w:hAnsi="仿宋_GB2312" w:eastAsia="仿宋_GB2312" w:cs="仿宋_GB2312"/>
                <w:szCs w:val="21"/>
              </w:rPr>
              <w:t>实训室</w:t>
            </w:r>
          </w:p>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eastAsia="zh-CN"/>
              </w:rPr>
            </w:pPr>
          </w:p>
        </w:tc>
        <w:tc>
          <w:tcPr>
            <w:tcW w:w="705"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第5学期</w:t>
            </w:r>
          </w:p>
        </w:tc>
        <w:tc>
          <w:tcPr>
            <w:tcW w:w="528"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35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3</w:t>
            </w:r>
          </w:p>
        </w:tc>
        <w:tc>
          <w:tcPr>
            <w:tcW w:w="80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default" w:ascii="仿宋_GB2312" w:hAnsi="仿宋_GB2312" w:eastAsia="仿宋_GB2312" w:cs="仿宋_GB2312"/>
                <w:szCs w:val="21"/>
              </w:rPr>
              <w:t>面包</w:t>
            </w:r>
            <w:r>
              <w:rPr>
                <w:rFonts w:hint="eastAsia" w:ascii="仿宋_GB2312" w:hAnsi="仿宋_GB2312" w:eastAsia="仿宋_GB2312" w:cs="仿宋_GB2312"/>
                <w:szCs w:val="21"/>
              </w:rPr>
              <w:t>综合实训</w:t>
            </w:r>
          </w:p>
        </w:tc>
        <w:tc>
          <w:tcPr>
            <w:tcW w:w="1895"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通</w:t>
            </w:r>
            <w:r>
              <w:rPr>
                <w:rFonts w:hint="default" w:ascii="仿宋_GB2312" w:hAnsi="仿宋_GB2312" w:eastAsia="仿宋_GB2312" w:cs="仿宋_GB2312"/>
                <w:szCs w:val="21"/>
              </w:rPr>
              <w:t>过面包</w:t>
            </w:r>
            <w:r>
              <w:rPr>
                <w:rFonts w:hint="eastAsia" w:ascii="仿宋_GB2312" w:hAnsi="仿宋_GB2312" w:eastAsia="仿宋_GB2312" w:cs="仿宋_GB2312"/>
                <w:szCs w:val="21"/>
              </w:rPr>
              <w:t>综合实训，使学生了解</w:t>
            </w:r>
            <w:r>
              <w:rPr>
                <w:rFonts w:hint="default" w:ascii="仿宋_GB2312" w:hAnsi="仿宋_GB2312" w:eastAsia="仿宋_GB2312" w:cs="仿宋_GB2312"/>
                <w:szCs w:val="21"/>
              </w:rPr>
              <w:t>面包</w:t>
            </w:r>
            <w:r>
              <w:rPr>
                <w:rFonts w:hint="eastAsia" w:ascii="仿宋_GB2312" w:hAnsi="仿宋_GB2312" w:eastAsia="仿宋_GB2312" w:cs="仿宋_GB2312"/>
                <w:szCs w:val="21"/>
              </w:rPr>
              <w:t>制作的选料、基本</w:t>
            </w:r>
            <w:r>
              <w:rPr>
                <w:rFonts w:hint="default" w:ascii="仿宋_GB2312" w:hAnsi="仿宋_GB2312" w:eastAsia="仿宋_GB2312" w:cs="仿宋_GB2312"/>
                <w:szCs w:val="21"/>
              </w:rPr>
              <w:t>操作手法、</w:t>
            </w:r>
            <w:r>
              <w:rPr>
                <w:rFonts w:hint="eastAsia" w:ascii="仿宋_GB2312" w:hAnsi="仿宋_GB2312" w:eastAsia="仿宋_GB2312" w:cs="仿宋_GB2312"/>
                <w:szCs w:val="21"/>
              </w:rPr>
              <w:t>制作工艺</w:t>
            </w:r>
            <w:r>
              <w:rPr>
                <w:rFonts w:hint="default" w:ascii="仿宋_GB2312" w:hAnsi="仿宋_GB2312" w:eastAsia="仿宋_GB2312" w:cs="仿宋_GB2312"/>
                <w:szCs w:val="21"/>
              </w:rPr>
              <w:t>流程</w:t>
            </w:r>
            <w:r>
              <w:rPr>
                <w:rFonts w:hint="eastAsia" w:ascii="仿宋_GB2312" w:hAnsi="仿宋_GB2312" w:eastAsia="仿宋_GB2312" w:cs="仿宋_GB2312"/>
                <w:szCs w:val="21"/>
              </w:rPr>
              <w:t>等相关知识</w:t>
            </w:r>
            <w:r>
              <w:rPr>
                <w:rFonts w:hint="default" w:ascii="仿宋_GB2312" w:hAnsi="仿宋_GB2312" w:eastAsia="仿宋_GB2312" w:cs="仿宋_GB2312"/>
                <w:szCs w:val="21"/>
              </w:rPr>
              <w:t>；</w:t>
            </w:r>
            <w:r>
              <w:rPr>
                <w:rFonts w:hint="eastAsia" w:ascii="仿宋_GB2312" w:hAnsi="仿宋_GB2312" w:eastAsia="仿宋_GB2312" w:cs="仿宋_GB2312"/>
                <w:szCs w:val="21"/>
              </w:rPr>
              <w:t>通过教师示范和学生动手操作，</w:t>
            </w:r>
            <w:r>
              <w:rPr>
                <w:rFonts w:hint="default" w:ascii="仿宋_GB2312" w:hAnsi="仿宋_GB2312" w:eastAsia="仿宋_GB2312" w:cs="仿宋_GB2312"/>
                <w:szCs w:val="21"/>
              </w:rPr>
              <w:t>培养学生烘焙、食品制造等操作能力</w:t>
            </w:r>
            <w:r>
              <w:rPr>
                <w:rFonts w:hint="eastAsia" w:ascii="仿宋_GB2312" w:hAnsi="仿宋_GB2312" w:eastAsia="仿宋_GB2312" w:cs="仿宋_GB2312"/>
                <w:szCs w:val="21"/>
              </w:rPr>
              <w:t>，</w:t>
            </w:r>
            <w:r>
              <w:rPr>
                <w:rFonts w:hint="default" w:ascii="仿宋_GB2312" w:hAnsi="仿宋_GB2312" w:eastAsia="仿宋_GB2312" w:cs="仿宋_GB2312"/>
                <w:szCs w:val="21"/>
              </w:rPr>
              <w:t>使学生</w:t>
            </w:r>
            <w:r>
              <w:rPr>
                <w:rFonts w:hint="eastAsia" w:ascii="仿宋_GB2312" w:hAnsi="仿宋_GB2312" w:eastAsia="仿宋_GB2312" w:cs="仿宋_GB2312"/>
                <w:szCs w:val="21"/>
              </w:rPr>
              <w:t>具备</w:t>
            </w:r>
            <w:r>
              <w:rPr>
                <w:rFonts w:hint="default" w:ascii="仿宋_GB2312" w:hAnsi="仿宋_GB2312" w:eastAsia="仿宋_GB2312" w:cs="仿宋_GB2312"/>
                <w:szCs w:val="21"/>
              </w:rPr>
              <w:t>完成基本生产任务和解决一般生产问题的</w:t>
            </w:r>
            <w:r>
              <w:rPr>
                <w:rFonts w:hint="eastAsia" w:ascii="仿宋_GB2312" w:hAnsi="仿宋_GB2312" w:eastAsia="仿宋_GB2312" w:cs="仿宋_GB2312"/>
                <w:szCs w:val="21"/>
              </w:rPr>
              <w:t>能力，能够</w:t>
            </w:r>
            <w:r>
              <w:rPr>
                <w:rFonts w:hint="default" w:ascii="仿宋_GB2312" w:hAnsi="仿宋_GB2312" w:eastAsia="仿宋_GB2312" w:cs="仿宋_GB2312"/>
                <w:szCs w:val="21"/>
              </w:rPr>
              <w:t>按操作规范和要求制作产品</w:t>
            </w:r>
            <w:r>
              <w:rPr>
                <w:rFonts w:hint="eastAsia" w:ascii="仿宋_GB2312" w:hAnsi="仿宋_GB2312" w:eastAsia="仿宋_GB2312" w:cs="仿宋_GB2312"/>
                <w:szCs w:val="21"/>
              </w:rPr>
              <w:t>，全面提升学生解决实训中遇到的实际问题能力。</w:t>
            </w:r>
          </w:p>
        </w:tc>
        <w:tc>
          <w:tcPr>
            <w:tcW w:w="71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default" w:ascii="仿宋_GB2312" w:hAnsi="仿宋_GB2312" w:eastAsia="仿宋_GB2312" w:cs="仿宋_GB2312"/>
                <w:szCs w:val="21"/>
              </w:rPr>
              <w:t>西点</w:t>
            </w:r>
            <w:r>
              <w:rPr>
                <w:rFonts w:hint="eastAsia" w:ascii="仿宋_GB2312" w:hAnsi="仿宋_GB2312" w:eastAsia="仿宋_GB2312" w:cs="仿宋_GB2312"/>
                <w:szCs w:val="21"/>
              </w:rPr>
              <w:t>实训室</w:t>
            </w:r>
          </w:p>
        </w:tc>
        <w:tc>
          <w:tcPr>
            <w:tcW w:w="705"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第5学期</w:t>
            </w:r>
          </w:p>
        </w:tc>
        <w:tc>
          <w:tcPr>
            <w:tcW w:w="528"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8" w:hRule="atLeast"/>
        </w:trPr>
        <w:tc>
          <w:tcPr>
            <w:tcW w:w="35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4</w:t>
            </w:r>
          </w:p>
        </w:tc>
        <w:tc>
          <w:tcPr>
            <w:tcW w:w="802"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岗位实习</w:t>
            </w:r>
          </w:p>
        </w:tc>
        <w:tc>
          <w:tcPr>
            <w:tcW w:w="1895"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通过岗位实习，了解企业的组织架构、规章制度、企业文化和安全生产基本知识，运用所学专业知识和技能，进行</w:t>
            </w:r>
            <w:r>
              <w:rPr>
                <w:rFonts w:hint="eastAsia" w:ascii="仿宋_GB2312" w:hAnsi="仿宋_GB2312" w:eastAsia="仿宋_GB2312" w:cs="仿宋_GB2312"/>
                <w:szCs w:val="21"/>
                <w:lang w:eastAsia="zh-CN"/>
              </w:rPr>
              <w:t>酒店面点</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CN"/>
              </w:rPr>
              <w:t>饼房</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CN"/>
              </w:rPr>
              <w:t>包房</w:t>
            </w:r>
            <w:r>
              <w:rPr>
                <w:rFonts w:hint="eastAsia" w:ascii="仿宋_GB2312" w:hAnsi="仿宋_GB2312" w:eastAsia="仿宋_GB2312" w:cs="仿宋_GB2312"/>
                <w:szCs w:val="21"/>
              </w:rPr>
              <w:t>等相关岗位的实践，提升专业技能和工作能力。初步形成良好的职业道德意识和行为规范，学会沟通交流和团队协作，提高社会适应能力，为今后真正走上工作岗位打下坚实的基础。</w:t>
            </w:r>
          </w:p>
        </w:tc>
        <w:tc>
          <w:tcPr>
            <w:tcW w:w="714"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实习单位</w:t>
            </w:r>
          </w:p>
        </w:tc>
        <w:tc>
          <w:tcPr>
            <w:tcW w:w="705"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第5-6学期</w:t>
            </w:r>
          </w:p>
        </w:tc>
        <w:tc>
          <w:tcPr>
            <w:tcW w:w="528" w:type="pct"/>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72</w:t>
            </w:r>
            <w:r>
              <w:rPr>
                <w:rFonts w:hint="eastAsia" w:ascii="仿宋_GB2312" w:hAnsi="仿宋_GB2312" w:eastAsia="仿宋_GB2312" w:cs="仿宋_GB2312"/>
                <w:szCs w:val="21"/>
                <w:lang w:val="en-US" w:eastAsia="zh-CN"/>
              </w:rPr>
              <w:t>0</w:t>
            </w:r>
          </w:p>
        </w:tc>
      </w:tr>
    </w:tbl>
    <w:p>
      <w:pPr>
        <w:pStyle w:val="15"/>
        <w:keepNext w:val="0"/>
        <w:keepLines w:val="0"/>
        <w:pageBreakBefore w:val="0"/>
        <w:kinsoku/>
        <w:wordWrap/>
        <w:overflowPunct/>
        <w:topLinePunct w:val="0"/>
        <w:autoSpaceDN/>
        <w:bidi w:val="0"/>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42" w:name="_Toc10862"/>
      <w:bookmarkStart w:id="43" w:name="_Toc8069"/>
      <w:r>
        <w:rPr>
          <w:rFonts w:hint="eastAsia" w:ascii="黑体" w:hAnsi="黑体" w:eastAsia="黑体" w:cs="黑体"/>
          <w:sz w:val="32"/>
          <w:szCs w:val="32"/>
          <w:lang w:val="en-US" w:eastAsia="zh-CN"/>
        </w:rPr>
        <w:t>九、教学进程总体安排</w:t>
      </w:r>
      <w:bookmarkEnd w:id="42"/>
      <w:bookmarkEnd w:id="43"/>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44" w:name="_Toc28490"/>
      <w:bookmarkStart w:id="45" w:name="_Toc30639"/>
      <w:r>
        <w:rPr>
          <w:rFonts w:hint="eastAsia" w:ascii="楷体" w:hAnsi="楷体" w:eastAsia="楷体" w:cs="楷体"/>
          <w:sz w:val="32"/>
          <w:szCs w:val="32"/>
          <w:lang w:val="en-US" w:eastAsia="zh-CN" w:bidi="ar"/>
        </w:rPr>
        <w:t>（一）基本要求</w:t>
      </w:r>
      <w:bookmarkEnd w:id="44"/>
      <w:bookmarkEnd w:id="45"/>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专业课学时约占总学时的2/3，在确保学生实习总量的前提下，可根据实际需要集中或分阶段安排实习时间。加强实践教学，占总学时数50%以上。</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46" w:name="_Toc10320"/>
      <w:bookmarkStart w:id="47" w:name="_Toc23601"/>
      <w:r>
        <w:rPr>
          <w:rFonts w:hint="eastAsia" w:ascii="楷体" w:hAnsi="楷体" w:eastAsia="楷体" w:cs="楷体"/>
          <w:sz w:val="32"/>
          <w:szCs w:val="32"/>
          <w:lang w:val="en-US" w:eastAsia="zh-CN" w:bidi="ar"/>
        </w:rPr>
        <w:t>（二）教学时间安排</w:t>
      </w:r>
      <w:bookmarkEnd w:id="46"/>
      <w:bookmarkEnd w:id="47"/>
    </w:p>
    <w:p>
      <w:pPr>
        <w:pStyle w:val="4"/>
        <w:adjustRightInd w:val="0"/>
        <w:snapToGrid w:val="0"/>
        <w:spacing w:line="500" w:lineRule="exact"/>
        <w:ind w:firstLine="0" w:firstLineChars="0"/>
        <w:jc w:val="center"/>
        <w:rPr>
          <w:rFonts w:ascii="楷体" w:hAnsi="楷体" w:eastAsia="楷体" w:cs="楷体"/>
          <w:sz w:val="32"/>
          <w:szCs w:val="32"/>
        </w:rPr>
      </w:pPr>
      <w:r>
        <w:rPr>
          <w:rFonts w:hint="eastAsia" w:ascii="楷体" w:hAnsi="楷体" w:eastAsia="楷体" w:cs="楷体"/>
          <w:sz w:val="32"/>
          <w:szCs w:val="32"/>
        </w:rPr>
        <w:t xml:space="preserve">   </w:t>
      </w:r>
      <w:r>
        <w:rPr>
          <w:rFonts w:hint="eastAsia" w:ascii="黑体" w:hAnsi="黑体" w:eastAsia="黑体" w:cs="黑体"/>
          <w:sz w:val="24"/>
        </w:rPr>
        <w:t>表8  学年教学时间安排</w:t>
      </w:r>
    </w:p>
    <w:tbl>
      <w:tblPr>
        <w:tblStyle w:val="16"/>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jc w:val="center"/>
              <w:rPr>
                <w:rFonts w:hint="eastAsia" w:ascii="黑体" w:hAnsi="黑体" w:eastAsia="黑体" w:cs="黑体"/>
                <w:b w:val="0"/>
                <w:bCs w:val="0"/>
                <w:szCs w:val="21"/>
              </w:rPr>
            </w:pPr>
            <w:r>
              <w:rPr>
                <w:rFonts w:hint="eastAsia" w:ascii="黑体" w:hAnsi="黑体" w:eastAsia="黑体" w:cs="黑体"/>
                <w:b w:val="0"/>
                <w:bCs w:val="0"/>
                <w:szCs w:val="21"/>
              </w:rPr>
              <mc:AlternateContent>
                <mc:Choice Requires="wps">
                  <w:drawing>
                    <wp:anchor distT="0" distB="0" distL="114300" distR="114300" simplePos="0" relativeHeight="251682816"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2816;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b w:val="0"/>
                <w:bCs w:val="0"/>
                <w:szCs w:val="21"/>
                <w:lang w:val="en-US" w:eastAsia="zh-CN"/>
              </w:rPr>
              <w:t xml:space="preserve">      </w:t>
            </w:r>
            <w:r>
              <w:rPr>
                <w:rFonts w:hint="eastAsia" w:ascii="黑体" w:hAnsi="黑体" w:eastAsia="黑体" w:cs="黑体"/>
                <w:b w:val="0"/>
                <w:bCs w:val="0"/>
                <w:szCs w:val="21"/>
              </w:rPr>
              <w:t>内容</w:t>
            </w:r>
          </w:p>
          <w:p>
            <w:pPr>
              <w:ind w:firstLine="420" w:firstLineChars="200"/>
              <w:jc w:val="both"/>
              <w:rPr>
                <w:rFonts w:hint="eastAsia" w:ascii="黑体" w:hAnsi="黑体" w:eastAsia="黑体" w:cs="黑体"/>
                <w:b w:val="0"/>
                <w:bCs w:val="0"/>
                <w:szCs w:val="21"/>
              </w:rPr>
            </w:pPr>
            <w:r>
              <w:rPr>
                <w:rFonts w:hint="eastAsia" w:ascii="黑体" w:hAnsi="黑体" w:eastAsia="黑体" w:cs="黑体"/>
                <w:b w:val="0"/>
                <w:bCs w:val="0"/>
                <w:szCs w:val="21"/>
              </w:rPr>
              <mc:AlternateContent>
                <mc:Choice Requires="wps">
                  <w:drawing>
                    <wp:anchor distT="0" distB="0" distL="114300" distR="114300" simplePos="0" relativeHeight="251684864"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4864;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b w:val="0"/>
                <w:bCs w:val="0"/>
                <w:szCs w:val="21"/>
              </w:rPr>
              <w:t>周数</w:t>
            </w:r>
          </w:p>
          <w:p>
            <w:pPr>
              <w:jc w:val="both"/>
              <w:rPr>
                <w:rFonts w:hint="eastAsia" w:ascii="黑体" w:hAnsi="黑体" w:eastAsia="黑体" w:cs="黑体"/>
                <w:b w:val="0"/>
                <w:bCs w:val="0"/>
                <w:szCs w:val="21"/>
              </w:rPr>
            </w:pPr>
            <w:r>
              <w:rPr>
                <w:rFonts w:hint="eastAsia" w:ascii="黑体" w:hAnsi="黑体" w:eastAsia="黑体" w:cs="黑体"/>
                <w:b w:val="0"/>
                <w:bCs w:val="0"/>
                <w:szCs w:val="21"/>
                <w:lang w:val="en-US" w:eastAsia="zh-CN"/>
              </w:rPr>
              <w:t>学年</w:t>
            </w:r>
          </w:p>
        </w:tc>
        <w:tc>
          <w:tcPr>
            <w:tcW w:w="3473" w:type="dxa"/>
            <w:vAlign w:val="center"/>
          </w:tcPr>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教学（含理实一体教学</w:t>
            </w:r>
          </w:p>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及专门化集中实训）</w:t>
            </w:r>
          </w:p>
        </w:tc>
        <w:tc>
          <w:tcPr>
            <w:tcW w:w="1425" w:type="dxa"/>
            <w:vAlign w:val="center"/>
          </w:tcPr>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复习考试</w:t>
            </w:r>
          </w:p>
        </w:tc>
        <w:tc>
          <w:tcPr>
            <w:tcW w:w="1031" w:type="dxa"/>
            <w:vAlign w:val="center"/>
          </w:tcPr>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机动</w:t>
            </w:r>
          </w:p>
        </w:tc>
        <w:tc>
          <w:tcPr>
            <w:tcW w:w="926" w:type="dxa"/>
            <w:vAlign w:val="center"/>
          </w:tcPr>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假期</w:t>
            </w:r>
          </w:p>
        </w:tc>
        <w:tc>
          <w:tcPr>
            <w:tcW w:w="1085" w:type="dxa"/>
            <w:vAlign w:val="center"/>
          </w:tcPr>
          <w:p>
            <w:pPr>
              <w:jc w:val="center"/>
              <w:rPr>
                <w:rFonts w:hint="eastAsia" w:ascii="黑体" w:hAnsi="黑体" w:eastAsia="黑体" w:cs="黑体"/>
                <w:b w:val="0"/>
                <w:bCs w:val="0"/>
                <w:szCs w:val="21"/>
                <w:lang w:val="en-US" w:eastAsia="zh-CN"/>
              </w:rPr>
            </w:pPr>
            <w:r>
              <w:rPr>
                <w:rFonts w:hint="eastAsia" w:ascii="黑体" w:hAnsi="黑体" w:eastAsia="黑体" w:cs="黑体"/>
                <w:b w:val="0"/>
                <w:bCs w:val="0"/>
                <w:szCs w:val="21"/>
                <w:lang w:val="en-US" w:eastAsia="zh-CN"/>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pPr>
    </w:p>
    <w:p>
      <w:pPr>
        <w:adjustRightInd w:val="0"/>
        <w:snapToGrid w:val="0"/>
        <w:spacing w:line="580" w:lineRule="exact"/>
        <w:rPr>
          <w:rFonts w:ascii="楷体" w:hAnsi="楷体" w:eastAsia="楷体" w:cs="楷体"/>
          <w:sz w:val="32"/>
          <w:szCs w:val="32"/>
        </w:rPr>
      </w:pPr>
    </w:p>
    <w:p>
      <w:pPr>
        <w:adjustRightInd w:val="0"/>
        <w:snapToGrid w:val="0"/>
        <w:spacing w:line="580" w:lineRule="exact"/>
        <w:rPr>
          <w:rFonts w:ascii="楷体" w:hAnsi="楷体" w:eastAsia="楷体" w:cs="楷体"/>
          <w:sz w:val="32"/>
          <w:szCs w:val="32"/>
        </w:rPr>
      </w:pPr>
    </w:p>
    <w:p>
      <w:pPr>
        <w:rPr>
          <w:rFonts w:ascii="楷体" w:hAnsi="楷体" w:eastAsia="楷体" w:cs="楷体"/>
          <w:sz w:val="32"/>
          <w:szCs w:val="32"/>
        </w:rPr>
      </w:pPr>
      <w:r>
        <w:rPr>
          <w:rFonts w:hint="eastAsia" w:ascii="楷体" w:hAnsi="楷体" w:eastAsia="楷体" w:cs="楷体"/>
          <w:sz w:val="32"/>
          <w:szCs w:val="32"/>
        </w:rPr>
        <w:br w:type="page"/>
      </w:r>
    </w:p>
    <w:p>
      <w:pPr>
        <w:adjustRightInd w:val="0"/>
        <w:snapToGrid w:val="0"/>
        <w:spacing w:line="580" w:lineRule="exact"/>
        <w:rPr>
          <w:rFonts w:ascii="楷体" w:hAnsi="楷体" w:eastAsia="楷体" w:cs="楷体"/>
          <w:sz w:val="32"/>
          <w:szCs w:val="32"/>
        </w:rPr>
        <w:sectPr>
          <w:pgSz w:w="11906" w:h="16838"/>
          <w:pgMar w:top="2041" w:right="1531" w:bottom="1984" w:left="1531" w:header="851" w:footer="992" w:gutter="0"/>
          <w:pgNumType w:fmt="decimal"/>
          <w:cols w:space="720" w:num="1"/>
          <w:docGrid w:type="lines" w:linePitch="312" w:charSpace="0"/>
        </w:sectPr>
      </w:pPr>
    </w:p>
    <w:p>
      <w:pPr>
        <w:keepNext w:val="0"/>
        <w:keepLines w:val="0"/>
        <w:pageBreakBefore w:val="0"/>
        <w:widowControl/>
        <w:kinsoku/>
        <w:wordWrap/>
        <w:overflowPunct/>
        <w:topLinePunct w:val="0"/>
        <w:autoSpaceDE w:val="0"/>
        <w:autoSpaceDN/>
        <w:bidi w:val="0"/>
        <w:adjustRightInd w:val="0"/>
        <w:snapToGrid w:val="0"/>
        <w:spacing w:line="580" w:lineRule="exact"/>
        <w:jc w:val="left"/>
        <w:textAlignment w:val="baseline"/>
        <w:outlineLvl w:val="1"/>
        <w:rPr>
          <w:rFonts w:hint="eastAsia" w:ascii="楷体" w:hAnsi="楷体" w:eastAsia="楷体" w:cs="楷体"/>
          <w:sz w:val="32"/>
          <w:szCs w:val="32"/>
          <w:lang w:val="en-US" w:eastAsia="zh-CN" w:bidi="ar"/>
        </w:rPr>
      </w:pPr>
      <w:bookmarkStart w:id="48" w:name="_Toc22732"/>
      <w:bookmarkStart w:id="49" w:name="_Toc25202"/>
      <w:r>
        <w:rPr>
          <w:rFonts w:hint="eastAsia" w:ascii="楷体" w:hAnsi="楷体" w:eastAsia="楷体" w:cs="楷体"/>
          <w:sz w:val="32"/>
          <w:szCs w:val="32"/>
          <w:lang w:val="en-US" w:eastAsia="zh-CN" w:bidi="ar"/>
        </w:rPr>
        <w:t>（三）教学进程安排表</w:t>
      </w:r>
      <w:bookmarkEnd w:id="48"/>
      <w:bookmarkEnd w:id="49"/>
    </w:p>
    <w:p>
      <w:pPr>
        <w:keepNext w:val="0"/>
        <w:keepLines w:val="0"/>
        <w:pageBreakBefore w:val="0"/>
        <w:widowControl/>
        <w:numPr>
          <w:ilvl w:val="0"/>
          <w:numId w:val="0"/>
        </w:numPr>
        <w:suppressLineNumbers w:val="0"/>
        <w:kinsoku/>
        <w:wordWrap/>
        <w:overflowPunct/>
        <w:topLinePunct w:val="0"/>
        <w:autoSpaceDE/>
        <w:autoSpaceDN/>
        <w:bidi w:val="0"/>
        <w:spacing w:line="400" w:lineRule="exact"/>
        <w:jc w:val="center"/>
        <w:textAlignment w:val="auto"/>
        <w:outlineLvl w:val="0"/>
        <w:rPr>
          <w:rFonts w:ascii="楷体" w:hAnsi="楷体" w:eastAsia="楷体" w:cs="楷体"/>
          <w:sz w:val="32"/>
          <w:szCs w:val="32"/>
        </w:rPr>
      </w:pPr>
      <w:r>
        <w:rPr>
          <w:rFonts w:hint="eastAsia" w:ascii="黑体" w:hAnsi="黑体" w:eastAsia="黑体" w:cs="黑体"/>
          <w:sz w:val="24"/>
        </w:rPr>
        <w:t>表9 中西面点专业教学进程安排表</w:t>
      </w:r>
    </w:p>
    <w:tbl>
      <w:tblPr>
        <w:tblStyle w:val="16"/>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课程</w:t>
            </w:r>
          </w:p>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类别</w:t>
            </w:r>
          </w:p>
        </w:tc>
        <w:tc>
          <w:tcPr>
            <w:tcW w:w="814" w:type="dxa"/>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序号</w:t>
            </w:r>
          </w:p>
        </w:tc>
        <w:tc>
          <w:tcPr>
            <w:tcW w:w="2528" w:type="dxa"/>
            <w:vMerge w:val="restart"/>
            <w:tcBorders>
              <w:top w:val="single" w:color="auto" w:sz="4" w:space="0"/>
            </w:tcBorders>
            <w:vAlign w:val="center"/>
          </w:tcPr>
          <w:p>
            <w:pPr>
              <w:pStyle w:val="22"/>
              <w:adjustRightInd w:val="0"/>
              <w:snapToGrid w:val="0"/>
              <w:spacing w:line="240" w:lineRule="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课程名称</w:t>
            </w:r>
          </w:p>
        </w:tc>
        <w:tc>
          <w:tcPr>
            <w:tcW w:w="1730" w:type="dxa"/>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课程代码</w:t>
            </w:r>
          </w:p>
        </w:tc>
        <w:tc>
          <w:tcPr>
            <w:tcW w:w="2505" w:type="dxa"/>
            <w:gridSpan w:val="3"/>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学时分配</w:t>
            </w:r>
          </w:p>
        </w:tc>
        <w:tc>
          <w:tcPr>
            <w:tcW w:w="825" w:type="dxa"/>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学分</w:t>
            </w:r>
          </w:p>
        </w:tc>
        <w:tc>
          <w:tcPr>
            <w:tcW w:w="690" w:type="dxa"/>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考核</w:t>
            </w:r>
          </w:p>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方式</w:t>
            </w:r>
          </w:p>
        </w:tc>
        <w:tc>
          <w:tcPr>
            <w:tcW w:w="4500" w:type="dxa"/>
            <w:gridSpan w:val="6"/>
            <w:tcBorders>
              <w:top w:val="single" w:color="auto" w:sz="4" w:space="0"/>
              <w:bottom w:val="single" w:color="auto" w:sz="4" w:space="0"/>
            </w:tcBorders>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按学年、学期教学进程安排</w:t>
            </w:r>
          </w:p>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814"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2528" w:type="dxa"/>
            <w:vMerge w:val="continue"/>
            <w:vAlign w:val="center"/>
          </w:tcPr>
          <w:p>
            <w:pPr>
              <w:adjustRightInd w:val="0"/>
              <w:snapToGrid w:val="0"/>
              <w:spacing w:line="240" w:lineRule="auto"/>
              <w:rPr>
                <w:rFonts w:hint="eastAsia" w:ascii="黑体" w:hAnsi="黑体" w:eastAsia="黑体" w:cs="黑体"/>
                <w:b w:val="0"/>
                <w:bCs w:val="0"/>
                <w:kern w:val="2"/>
                <w:sz w:val="21"/>
                <w:szCs w:val="21"/>
                <w:lang w:val="en-US" w:eastAsia="zh-CN" w:bidi="ar-SA"/>
              </w:rPr>
            </w:pPr>
          </w:p>
        </w:tc>
        <w:tc>
          <w:tcPr>
            <w:tcW w:w="1730"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2505" w:type="dxa"/>
            <w:gridSpan w:val="3"/>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82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690"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1675" w:type="dxa"/>
            <w:gridSpan w:val="2"/>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第一学年</w:t>
            </w:r>
          </w:p>
        </w:tc>
        <w:tc>
          <w:tcPr>
            <w:tcW w:w="1440" w:type="dxa"/>
            <w:gridSpan w:val="2"/>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第二学年</w:t>
            </w:r>
          </w:p>
        </w:tc>
        <w:tc>
          <w:tcPr>
            <w:tcW w:w="1385" w:type="dxa"/>
            <w:gridSpan w:val="2"/>
            <w:vMerge w:val="restart"/>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814" w:type="dxa"/>
            <w:vMerge w:val="continue"/>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2528" w:type="dxa"/>
            <w:vMerge w:val="continue"/>
            <w:vAlign w:val="center"/>
          </w:tcPr>
          <w:p>
            <w:pPr>
              <w:adjustRightInd w:val="0"/>
              <w:snapToGrid w:val="0"/>
              <w:spacing w:line="240" w:lineRule="auto"/>
              <w:rPr>
                <w:rFonts w:ascii="仿宋_GB2312" w:hAnsi="仿宋_GB2312" w:eastAsia="仿宋_GB2312" w:cs="仿宋_GB2312"/>
                <w:b w:val="0"/>
                <w:bCs w:val="0"/>
                <w:szCs w:val="21"/>
              </w:rPr>
            </w:pPr>
          </w:p>
        </w:tc>
        <w:tc>
          <w:tcPr>
            <w:tcW w:w="1730" w:type="dxa"/>
            <w:vMerge w:val="continue"/>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975" w:type="dxa"/>
            <w:vMerge w:val="restart"/>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总学时</w:t>
            </w:r>
          </w:p>
        </w:tc>
        <w:tc>
          <w:tcPr>
            <w:tcW w:w="765" w:type="dxa"/>
            <w:vMerge w:val="restart"/>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理论学时</w:t>
            </w:r>
          </w:p>
        </w:tc>
        <w:tc>
          <w:tcPr>
            <w:tcW w:w="765" w:type="dxa"/>
            <w:vMerge w:val="restart"/>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实践学时</w:t>
            </w:r>
          </w:p>
        </w:tc>
        <w:tc>
          <w:tcPr>
            <w:tcW w:w="82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690"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1675" w:type="dxa"/>
            <w:gridSpan w:val="2"/>
            <w:vMerge w:val="continue"/>
            <w:tcBorders>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1440" w:type="dxa"/>
            <w:gridSpan w:val="2"/>
            <w:vMerge w:val="continue"/>
            <w:tcBorders>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1385" w:type="dxa"/>
            <w:gridSpan w:val="2"/>
            <w:vMerge w:val="continue"/>
            <w:tcBorders>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 w:hRule="exact"/>
          <w:tblHeader/>
          <w:jc w:val="center"/>
        </w:trPr>
        <w:tc>
          <w:tcPr>
            <w:tcW w:w="1102" w:type="dxa"/>
            <w:gridSpan w:val="2"/>
            <w:vMerge w:val="continue"/>
            <w:tcBorders>
              <w:left w:val="single" w:color="auto" w:sz="4" w:space="0"/>
            </w:tcBorders>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814" w:type="dxa"/>
            <w:vMerge w:val="continue"/>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2528" w:type="dxa"/>
            <w:vMerge w:val="continue"/>
            <w:vAlign w:val="center"/>
          </w:tcPr>
          <w:p>
            <w:pPr>
              <w:adjustRightInd w:val="0"/>
              <w:snapToGrid w:val="0"/>
              <w:spacing w:line="240" w:lineRule="auto"/>
              <w:rPr>
                <w:rFonts w:ascii="仿宋_GB2312" w:hAnsi="仿宋_GB2312" w:eastAsia="仿宋_GB2312" w:cs="仿宋_GB2312"/>
                <w:b w:val="0"/>
                <w:bCs w:val="0"/>
                <w:szCs w:val="21"/>
              </w:rPr>
            </w:pPr>
          </w:p>
        </w:tc>
        <w:tc>
          <w:tcPr>
            <w:tcW w:w="1730" w:type="dxa"/>
            <w:vMerge w:val="continue"/>
            <w:vAlign w:val="center"/>
          </w:tcPr>
          <w:p>
            <w:pPr>
              <w:adjustRightInd w:val="0"/>
              <w:snapToGrid w:val="0"/>
              <w:spacing w:line="240" w:lineRule="auto"/>
              <w:jc w:val="center"/>
              <w:rPr>
                <w:rFonts w:ascii="仿宋_GB2312" w:hAnsi="仿宋_GB2312" w:eastAsia="仿宋_GB2312" w:cs="仿宋_GB2312"/>
                <w:b w:val="0"/>
                <w:bCs w:val="0"/>
                <w:szCs w:val="21"/>
              </w:rPr>
            </w:pPr>
          </w:p>
        </w:tc>
        <w:tc>
          <w:tcPr>
            <w:tcW w:w="97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76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76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82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690"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970"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w:t>
            </w:r>
          </w:p>
        </w:tc>
        <w:tc>
          <w:tcPr>
            <w:tcW w:w="705"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2</w:t>
            </w:r>
          </w:p>
        </w:tc>
        <w:tc>
          <w:tcPr>
            <w:tcW w:w="735"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3</w:t>
            </w:r>
          </w:p>
        </w:tc>
        <w:tc>
          <w:tcPr>
            <w:tcW w:w="705"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4</w:t>
            </w:r>
          </w:p>
        </w:tc>
        <w:tc>
          <w:tcPr>
            <w:tcW w:w="690"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w:t>
            </w:r>
          </w:p>
        </w:tc>
        <w:tc>
          <w:tcPr>
            <w:tcW w:w="695" w:type="dxa"/>
            <w:tcBorders>
              <w:top w:val="single" w:color="auto" w:sz="4" w:space="0"/>
              <w:bottom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 w:hRule="exact"/>
          <w:tblHeader/>
          <w:jc w:val="center"/>
        </w:trPr>
        <w:tc>
          <w:tcPr>
            <w:tcW w:w="1102" w:type="dxa"/>
            <w:gridSpan w:val="2"/>
            <w:vMerge w:val="continue"/>
            <w:tcBorders>
              <w:left w:val="single" w:color="auto" w:sz="4" w:space="0"/>
            </w:tcBorders>
            <w:vAlign w:val="center"/>
          </w:tcPr>
          <w:p>
            <w:pPr>
              <w:adjustRightInd w:val="0"/>
              <w:snapToGrid w:val="0"/>
              <w:spacing w:line="240" w:lineRule="auto"/>
              <w:jc w:val="right"/>
              <w:rPr>
                <w:rFonts w:ascii="仿宋_GB2312" w:hAnsi="仿宋_GB2312" w:eastAsia="仿宋_GB2312" w:cs="仿宋_GB2312"/>
                <w:b w:val="0"/>
                <w:bCs w:val="0"/>
                <w:szCs w:val="21"/>
              </w:rPr>
            </w:pPr>
          </w:p>
        </w:tc>
        <w:tc>
          <w:tcPr>
            <w:tcW w:w="814" w:type="dxa"/>
            <w:vMerge w:val="continue"/>
            <w:vAlign w:val="center"/>
          </w:tcPr>
          <w:p>
            <w:pPr>
              <w:adjustRightInd w:val="0"/>
              <w:snapToGrid w:val="0"/>
              <w:spacing w:line="240" w:lineRule="auto"/>
              <w:jc w:val="right"/>
              <w:rPr>
                <w:rFonts w:ascii="仿宋_GB2312" w:hAnsi="仿宋_GB2312" w:eastAsia="仿宋_GB2312" w:cs="仿宋_GB2312"/>
                <w:b w:val="0"/>
                <w:bCs w:val="0"/>
                <w:szCs w:val="21"/>
              </w:rPr>
            </w:pPr>
          </w:p>
        </w:tc>
        <w:tc>
          <w:tcPr>
            <w:tcW w:w="2528" w:type="dxa"/>
            <w:vMerge w:val="continue"/>
            <w:vAlign w:val="center"/>
          </w:tcPr>
          <w:p>
            <w:pPr>
              <w:adjustRightInd w:val="0"/>
              <w:snapToGrid w:val="0"/>
              <w:spacing w:line="240" w:lineRule="auto"/>
              <w:jc w:val="right"/>
              <w:rPr>
                <w:rFonts w:ascii="仿宋_GB2312" w:hAnsi="仿宋_GB2312" w:eastAsia="仿宋_GB2312" w:cs="仿宋_GB2312"/>
                <w:b w:val="0"/>
                <w:bCs w:val="0"/>
                <w:szCs w:val="21"/>
              </w:rPr>
            </w:pPr>
          </w:p>
        </w:tc>
        <w:tc>
          <w:tcPr>
            <w:tcW w:w="1730" w:type="dxa"/>
            <w:vMerge w:val="continue"/>
            <w:vAlign w:val="center"/>
          </w:tcPr>
          <w:p>
            <w:pPr>
              <w:adjustRightInd w:val="0"/>
              <w:snapToGrid w:val="0"/>
              <w:spacing w:line="240" w:lineRule="auto"/>
              <w:jc w:val="right"/>
              <w:rPr>
                <w:rFonts w:ascii="仿宋_GB2312" w:hAnsi="仿宋_GB2312" w:eastAsia="仿宋_GB2312" w:cs="仿宋_GB2312"/>
                <w:b w:val="0"/>
                <w:bCs w:val="0"/>
                <w:szCs w:val="21"/>
              </w:rPr>
            </w:pPr>
          </w:p>
        </w:tc>
        <w:tc>
          <w:tcPr>
            <w:tcW w:w="97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76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76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825"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690" w:type="dxa"/>
            <w:vMerge w:val="continue"/>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p>
        </w:tc>
        <w:tc>
          <w:tcPr>
            <w:tcW w:w="970"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18周</w:t>
            </w:r>
          </w:p>
        </w:tc>
        <w:tc>
          <w:tcPr>
            <w:tcW w:w="705"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18周</w:t>
            </w:r>
          </w:p>
        </w:tc>
        <w:tc>
          <w:tcPr>
            <w:tcW w:w="735"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18周</w:t>
            </w:r>
          </w:p>
        </w:tc>
        <w:tc>
          <w:tcPr>
            <w:tcW w:w="705"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18周</w:t>
            </w:r>
          </w:p>
        </w:tc>
        <w:tc>
          <w:tcPr>
            <w:tcW w:w="690"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18周</w:t>
            </w:r>
          </w:p>
        </w:tc>
        <w:tc>
          <w:tcPr>
            <w:tcW w:w="695" w:type="dxa"/>
            <w:tcBorders>
              <w:top w:val="single" w:color="auto" w:sz="4" w:space="0"/>
            </w:tcBorders>
            <w:vAlign w:val="center"/>
          </w:tcPr>
          <w:p>
            <w:pPr>
              <w:adjustRightInd w:val="0"/>
              <w:snapToGrid w:val="0"/>
              <w:spacing w:line="240" w:lineRule="auto"/>
              <w:jc w:val="center"/>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tcBorders>
              <w:top w:val="single" w:color="auto" w:sz="4" w:space="0"/>
            </w:tcBorders>
            <w:textDirection w:val="tbRlV"/>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小计（占总课时比例24.6%）</w:t>
            </w:r>
          </w:p>
        </w:tc>
        <w:tc>
          <w:tcPr>
            <w:tcW w:w="975" w:type="dxa"/>
            <w:vAlign w:val="center"/>
          </w:tcPr>
          <w:p>
            <w:pPr>
              <w:adjustRightInd w:val="0"/>
              <w:snapToGrid w:val="0"/>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810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4500" w:type="dxa"/>
            <w:gridSpan w:val="6"/>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adjustRightInd w:val="0"/>
              <w:snapToGrid w:val="0"/>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3"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65"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975" w:type="dxa"/>
            <w:vAlign w:val="center"/>
          </w:tcPr>
          <w:p>
            <w:pPr>
              <w:tabs>
                <w:tab w:val="left" w:pos="327"/>
              </w:tabs>
              <w:adjustRightInd w:val="0"/>
              <w:snapToGrid w:val="0"/>
              <w:spacing w:line="240"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288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16</w:t>
            </w:r>
          </w:p>
        </w:tc>
        <w:tc>
          <w:tcPr>
            <w:tcW w:w="690" w:type="dxa"/>
            <w:vAlign w:val="center"/>
          </w:tcPr>
          <w:p>
            <w:pPr>
              <w:adjustRightInd w:val="0"/>
              <w:snapToGrid w:val="0"/>
              <w:spacing w:line="240" w:lineRule="auto"/>
              <w:rPr>
                <w:rFonts w:ascii="仿宋_GB2312" w:hAnsi="仿宋_GB2312" w:eastAsia="仿宋_GB2312" w:cs="仿宋_GB2312"/>
                <w:szCs w:val="21"/>
              </w:rPr>
            </w:pPr>
          </w:p>
        </w:tc>
        <w:tc>
          <w:tcPr>
            <w:tcW w:w="4500" w:type="dxa"/>
            <w:gridSpan w:val="6"/>
            <w:vAlign w:val="center"/>
          </w:tcPr>
          <w:p>
            <w:pPr>
              <w:adjustRightInd w:val="0"/>
              <w:snapToGrid w:val="0"/>
              <w:spacing w:line="240" w:lineRule="auto"/>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restart"/>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spacing w:line="240" w:lineRule="auto"/>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中西面点原料知识</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KCCL103</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textDirection w:val="tbRlV"/>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240" w:lineRule="auto"/>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营养安全与卫生</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KCCL104</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36</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ascii="仿宋_GB2312" w:hAnsi="仿宋_GB2312" w:eastAsia="仿宋_GB2312" w:cs="仿宋_GB2312"/>
                <w:szCs w:val="21"/>
              </w:rPr>
              <w:t>36</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textDirection w:val="tbRlV"/>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240" w:lineRule="auto"/>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成本核算</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KCCL102</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textDirection w:val="tbRlV"/>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240" w:lineRule="auto"/>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厨政管理</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KCCL107</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18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小计（占总课时比例 </w:t>
            </w:r>
            <w:r>
              <w:rPr>
                <w:rFonts w:hint="default" w:ascii="仿宋_GB2312" w:hAnsi="仿宋_GB2312" w:eastAsia="仿宋_GB2312" w:cs="仿宋_GB2312"/>
                <w:szCs w:val="21"/>
              </w:rPr>
              <w:t>2.7</w:t>
            </w:r>
            <w:r>
              <w:rPr>
                <w:rFonts w:hint="eastAsia" w:ascii="仿宋_GB2312" w:hAnsi="仿宋_GB2312" w:eastAsia="仿宋_GB2312" w:cs="仿宋_GB2312"/>
                <w:szCs w:val="21"/>
              </w:rPr>
              <w:t>%）</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90</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90</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4500" w:type="dxa"/>
            <w:gridSpan w:val="6"/>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中式面点制作</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KCCL223</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hint="default" w:ascii="仿宋_GB2312" w:hAnsi="仿宋_GB2312" w:eastAsia="仿宋_GB2312" w:cs="仿宋_GB2312"/>
                <w:color w:val="auto"/>
                <w:szCs w:val="21"/>
              </w:rPr>
              <w:t>216</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40</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176</w:t>
            </w:r>
          </w:p>
        </w:tc>
        <w:tc>
          <w:tcPr>
            <w:tcW w:w="82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hint="default" w:ascii="仿宋_GB2312" w:hAnsi="仿宋_GB2312" w:eastAsia="仿宋_GB2312" w:cs="仿宋_GB2312"/>
                <w:szCs w:val="21"/>
              </w:rPr>
            </w:pPr>
            <w:r>
              <w:rPr>
                <w:rFonts w:hint="default" w:ascii="仿宋_GB2312" w:hAnsi="仿宋_GB2312" w:eastAsia="仿宋_GB2312" w:cs="仿宋_GB2312"/>
                <w:szCs w:val="21"/>
              </w:rPr>
              <w:t>8</w:t>
            </w: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hint="default" w:ascii="仿宋_GB2312" w:hAnsi="仿宋_GB2312" w:eastAsia="仿宋_GB2312" w:cs="仿宋_GB2312"/>
                <w:szCs w:val="21"/>
              </w:rPr>
              <w:t>4</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西式面点制作</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KCCL227</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4</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68</w:t>
            </w:r>
          </w:p>
        </w:tc>
        <w:tc>
          <w:tcPr>
            <w:tcW w:w="82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4</w:t>
            </w:r>
          </w:p>
        </w:tc>
        <w:tc>
          <w:tcPr>
            <w:tcW w:w="690"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color w:val="auto"/>
                <w:kern w:val="2"/>
                <w:sz w:val="21"/>
                <w:szCs w:val="21"/>
                <w:highlight w:val="none"/>
                <w:lang w:val="en-US" w:eastAsia="zh-CN" w:bidi="ar-SA"/>
              </w:rPr>
            </w:pPr>
          </w:p>
        </w:tc>
        <w:tc>
          <w:tcPr>
            <w:tcW w:w="705" w:type="dxa"/>
            <w:vAlign w:val="center"/>
          </w:tcPr>
          <w:p>
            <w:pPr>
              <w:adjustRightInd w:val="0"/>
              <w:snapToGrid w:val="0"/>
              <w:spacing w:line="240" w:lineRule="auto"/>
              <w:jc w:val="center"/>
              <w:rPr>
                <w:rFonts w:ascii="仿宋_GB2312" w:hAnsi="仿宋_GB2312" w:eastAsia="仿宋_GB2312" w:cs="仿宋_GB2312"/>
                <w:color w:val="auto"/>
                <w:kern w:val="2"/>
                <w:sz w:val="21"/>
                <w:szCs w:val="21"/>
                <w:highlight w:val="none"/>
                <w:lang w:val="en-US" w:eastAsia="zh-CN" w:bidi="ar-SA"/>
              </w:rPr>
            </w:pPr>
          </w:p>
        </w:tc>
        <w:tc>
          <w:tcPr>
            <w:tcW w:w="73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4</w:t>
            </w:r>
          </w:p>
        </w:tc>
        <w:tc>
          <w:tcPr>
            <w:tcW w:w="705" w:type="dxa"/>
            <w:vAlign w:val="center"/>
          </w:tcPr>
          <w:p>
            <w:pPr>
              <w:adjustRightInd w:val="0"/>
              <w:snapToGrid w:val="0"/>
              <w:spacing w:line="240" w:lineRule="auto"/>
              <w:jc w:val="center"/>
              <w:rPr>
                <w:rFonts w:hint="default" w:ascii="仿宋_GB2312" w:hAnsi="仿宋_GB2312" w:eastAsia="仿宋_GB2312" w:cs="仿宋_GB2312"/>
                <w:color w:val="auto"/>
                <w:szCs w:val="21"/>
                <w:highlight w:val="none"/>
              </w:rPr>
            </w:pP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c>
          <w:tcPr>
            <w:tcW w:w="695" w:type="dxa"/>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面包课堂</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KCCL225</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144</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40</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104</w:t>
            </w:r>
          </w:p>
        </w:tc>
        <w:tc>
          <w:tcPr>
            <w:tcW w:w="825" w:type="dxa"/>
            <w:vAlign w:val="center"/>
          </w:tcPr>
          <w:p>
            <w:pPr>
              <w:adjustRightInd w:val="0"/>
              <w:snapToGrid w:val="0"/>
              <w:spacing w:line="240" w:lineRule="auto"/>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8</w:t>
            </w:r>
          </w:p>
        </w:tc>
        <w:tc>
          <w:tcPr>
            <w:tcW w:w="690"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0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3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4</w:t>
            </w:r>
          </w:p>
        </w:tc>
        <w:tc>
          <w:tcPr>
            <w:tcW w:w="70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4</w:t>
            </w: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695" w:type="dxa"/>
            <w:vAlign w:val="center"/>
          </w:tcPr>
          <w:p>
            <w:pPr>
              <w:adjustRightInd w:val="0"/>
              <w:snapToGrid w:val="0"/>
              <w:spacing w:line="240" w:lineRule="auto"/>
              <w:jc w:val="center"/>
              <w:rPr>
                <w:rFonts w:ascii="仿宋_GB2312" w:hAnsi="仿宋_GB2312" w:eastAsia="仿宋_GB2312" w:cs="仿宋_GB2312"/>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3"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蛋糕裱花与装饰</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KCCL226</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ascii="仿宋_GB2312" w:hAnsi="仿宋_GB2312" w:eastAsia="仿宋_GB2312" w:cs="仿宋_GB2312"/>
                <w:color w:val="auto"/>
                <w:szCs w:val="21"/>
                <w:highlight w:val="none"/>
              </w:rPr>
              <w:t>1</w:t>
            </w:r>
            <w:r>
              <w:rPr>
                <w:rFonts w:hint="eastAsia" w:ascii="仿宋_GB2312" w:hAnsi="仿宋_GB2312" w:eastAsia="仿宋_GB2312" w:cs="仿宋_GB2312"/>
                <w:color w:val="auto"/>
                <w:szCs w:val="21"/>
                <w:highlight w:val="none"/>
                <w:lang w:val="en-US" w:eastAsia="zh-CN"/>
              </w:rPr>
              <w:t>80</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21</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159</w:t>
            </w:r>
          </w:p>
        </w:tc>
        <w:tc>
          <w:tcPr>
            <w:tcW w:w="825"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10</w:t>
            </w:r>
          </w:p>
        </w:tc>
        <w:tc>
          <w:tcPr>
            <w:tcW w:w="690"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color w:val="auto"/>
                <w:kern w:val="2"/>
                <w:sz w:val="21"/>
                <w:szCs w:val="21"/>
                <w:highlight w:val="none"/>
                <w:lang w:val="en-US" w:eastAsia="zh-CN" w:bidi="ar-SA"/>
              </w:rPr>
            </w:pPr>
          </w:p>
        </w:tc>
        <w:tc>
          <w:tcPr>
            <w:tcW w:w="705" w:type="dxa"/>
            <w:vAlign w:val="center"/>
          </w:tcPr>
          <w:p>
            <w:pPr>
              <w:adjustRightInd w:val="0"/>
              <w:snapToGrid w:val="0"/>
              <w:spacing w:line="240" w:lineRule="auto"/>
              <w:jc w:val="center"/>
              <w:rPr>
                <w:rFonts w:ascii="仿宋_GB2312" w:hAnsi="仿宋_GB2312" w:eastAsia="仿宋_GB2312" w:cs="仿宋_GB2312"/>
                <w:color w:val="auto"/>
                <w:kern w:val="2"/>
                <w:sz w:val="21"/>
                <w:szCs w:val="21"/>
                <w:highlight w:val="none"/>
                <w:lang w:val="en-US" w:eastAsia="zh-CN" w:bidi="ar-SA"/>
              </w:rPr>
            </w:pPr>
          </w:p>
        </w:tc>
        <w:tc>
          <w:tcPr>
            <w:tcW w:w="73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3</w:t>
            </w:r>
          </w:p>
        </w:tc>
        <w:tc>
          <w:tcPr>
            <w:tcW w:w="70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7</w:t>
            </w: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c>
          <w:tcPr>
            <w:tcW w:w="695" w:type="dxa"/>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中西式面点基本功</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KCCL221</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54</w:t>
            </w:r>
          </w:p>
        </w:tc>
        <w:tc>
          <w:tcPr>
            <w:tcW w:w="765" w:type="dxa"/>
            <w:vAlign w:val="center"/>
          </w:tcPr>
          <w:p>
            <w:pPr>
              <w:adjustRightInd w:val="0"/>
              <w:snapToGrid w:val="0"/>
              <w:spacing w:line="240" w:lineRule="auto"/>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9</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45</w:t>
            </w:r>
          </w:p>
        </w:tc>
        <w:tc>
          <w:tcPr>
            <w:tcW w:w="82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3</w:t>
            </w:r>
          </w:p>
        </w:tc>
        <w:tc>
          <w:tcPr>
            <w:tcW w:w="690"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考试</w:t>
            </w:r>
          </w:p>
        </w:tc>
        <w:tc>
          <w:tcPr>
            <w:tcW w:w="970"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3</w:t>
            </w:r>
          </w:p>
        </w:tc>
        <w:tc>
          <w:tcPr>
            <w:tcW w:w="70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3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0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695" w:type="dxa"/>
            <w:vAlign w:val="center"/>
          </w:tcPr>
          <w:p>
            <w:pPr>
              <w:adjustRightInd w:val="0"/>
              <w:snapToGrid w:val="0"/>
              <w:spacing w:line="240" w:lineRule="auto"/>
              <w:jc w:val="center"/>
              <w:rPr>
                <w:rFonts w:ascii="仿宋_GB2312" w:hAnsi="仿宋_GB2312" w:eastAsia="仿宋_GB2312" w:cs="仿宋_GB2312"/>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花饽饽制作</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KCCL338</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72</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12</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60</w:t>
            </w:r>
          </w:p>
        </w:tc>
        <w:tc>
          <w:tcPr>
            <w:tcW w:w="825" w:type="dxa"/>
            <w:vAlign w:val="center"/>
          </w:tcPr>
          <w:p>
            <w:pPr>
              <w:adjustRightInd w:val="0"/>
              <w:snapToGrid w:val="0"/>
              <w:spacing w:line="240" w:lineRule="auto"/>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4</w:t>
            </w:r>
          </w:p>
        </w:tc>
        <w:tc>
          <w:tcPr>
            <w:tcW w:w="690"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0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4</w:t>
            </w:r>
          </w:p>
        </w:tc>
        <w:tc>
          <w:tcPr>
            <w:tcW w:w="73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705"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rPr>
            </w:pPr>
          </w:p>
        </w:tc>
        <w:tc>
          <w:tcPr>
            <w:tcW w:w="695" w:type="dxa"/>
            <w:vAlign w:val="center"/>
          </w:tcPr>
          <w:p>
            <w:pPr>
              <w:adjustRightInd w:val="0"/>
              <w:snapToGrid w:val="0"/>
              <w:spacing w:line="240" w:lineRule="auto"/>
              <w:jc w:val="center"/>
              <w:rPr>
                <w:rFonts w:ascii="仿宋_GB2312" w:hAnsi="仿宋_GB2312" w:eastAsia="仿宋_GB2312" w:cs="仿宋_GB2312"/>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24.4</w:t>
            </w:r>
            <w:r>
              <w:rPr>
                <w:rFonts w:hint="eastAsia" w:ascii="仿宋_GB2312" w:hAnsi="仿宋_GB2312" w:eastAsia="仿宋_GB2312" w:cs="仿宋_GB2312"/>
                <w:szCs w:val="21"/>
              </w:rPr>
              <w:t>%）</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738</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126</w:t>
            </w:r>
          </w:p>
        </w:tc>
        <w:tc>
          <w:tcPr>
            <w:tcW w:w="76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612</w:t>
            </w:r>
          </w:p>
        </w:tc>
        <w:tc>
          <w:tcPr>
            <w:tcW w:w="825" w:type="dxa"/>
            <w:vAlign w:val="center"/>
          </w:tcPr>
          <w:p>
            <w:pPr>
              <w:adjustRightInd w:val="0"/>
              <w:snapToGrid w:val="0"/>
              <w:spacing w:line="240" w:lineRule="auto"/>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41</w:t>
            </w:r>
          </w:p>
        </w:tc>
        <w:tc>
          <w:tcPr>
            <w:tcW w:w="690" w:type="dxa"/>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c>
          <w:tcPr>
            <w:tcW w:w="4500" w:type="dxa"/>
            <w:gridSpan w:val="6"/>
            <w:vAlign w:val="center"/>
          </w:tcPr>
          <w:p>
            <w:pPr>
              <w:adjustRightInd w:val="0"/>
              <w:snapToGrid w:val="0"/>
              <w:spacing w:line="240" w:lineRule="auto"/>
              <w:jc w:val="center"/>
              <w:rPr>
                <w:rFonts w:ascii="仿宋_GB2312" w:hAnsi="仿宋_GB2312" w:eastAsia="仿宋_GB2312" w:cs="仿宋_GB2312"/>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面塑</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i w:val="0"/>
                <w:iCs w:val="0"/>
                <w:color w:val="000000"/>
                <w:kern w:val="0"/>
                <w:sz w:val="21"/>
                <w:szCs w:val="21"/>
                <w:u w:val="none"/>
                <w:lang w:val="en-US" w:eastAsia="zh-CN" w:bidi="ar"/>
              </w:rPr>
              <w:t>KCCL339</w:t>
            </w:r>
          </w:p>
        </w:tc>
        <w:tc>
          <w:tcPr>
            <w:tcW w:w="975" w:type="dxa"/>
            <w:vAlign w:val="center"/>
          </w:tcPr>
          <w:p>
            <w:pPr>
              <w:adjustRightInd w:val="0"/>
              <w:snapToGrid w:val="0"/>
              <w:spacing w:line="24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Cs w:val="21"/>
                <w:highlight w:val="none"/>
                <w:lang w:val="en-US" w:eastAsia="zh-CN"/>
              </w:rPr>
              <w:t>72</w:t>
            </w:r>
          </w:p>
        </w:tc>
        <w:tc>
          <w:tcPr>
            <w:tcW w:w="765" w:type="dxa"/>
            <w:vAlign w:val="center"/>
          </w:tcPr>
          <w:p>
            <w:pPr>
              <w:adjustRightInd w:val="0"/>
              <w:snapToGrid w:val="0"/>
              <w:spacing w:line="240" w:lineRule="auto"/>
              <w:jc w:val="center"/>
              <w:rPr>
                <w:rFonts w:hint="default"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0</w:t>
            </w:r>
          </w:p>
        </w:tc>
        <w:tc>
          <w:tcPr>
            <w:tcW w:w="765" w:type="dxa"/>
            <w:vAlign w:val="center"/>
          </w:tcPr>
          <w:p>
            <w:pPr>
              <w:adjustRightInd w:val="0"/>
              <w:snapToGrid w:val="0"/>
              <w:spacing w:line="240" w:lineRule="auto"/>
              <w:jc w:val="center"/>
              <w:rPr>
                <w:rFonts w:hint="default"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72</w:t>
            </w:r>
          </w:p>
        </w:tc>
        <w:tc>
          <w:tcPr>
            <w:tcW w:w="825" w:type="dxa"/>
            <w:vAlign w:val="center"/>
          </w:tcPr>
          <w:p>
            <w:pPr>
              <w:adjustRightInd w:val="0"/>
              <w:snapToGrid w:val="0"/>
              <w:spacing w:line="240" w:lineRule="auto"/>
              <w:jc w:val="center"/>
              <w:rPr>
                <w:rFonts w:hint="default"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4</w:t>
            </w:r>
          </w:p>
        </w:tc>
        <w:tc>
          <w:tcPr>
            <w:tcW w:w="690" w:type="dxa"/>
            <w:vAlign w:val="center"/>
          </w:tcPr>
          <w:p>
            <w:pPr>
              <w:adjustRightInd w:val="0"/>
              <w:snapToGrid w:val="0"/>
              <w:spacing w:line="240" w:lineRule="auto"/>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spacing w:line="240" w:lineRule="auto"/>
              <w:jc w:val="center"/>
              <w:rPr>
                <w:rFonts w:hint="eastAsia" w:ascii="仿宋_GB2312" w:hAnsi="仿宋_GB2312" w:eastAsia="仿宋_GB2312" w:cs="仿宋_GB2312"/>
                <w:kern w:val="2"/>
                <w:sz w:val="21"/>
                <w:szCs w:val="21"/>
                <w:highlight w:val="none"/>
                <w:lang w:val="en-US" w:eastAsia="zh-CN" w:bidi="ar-SA"/>
              </w:rPr>
            </w:pPr>
          </w:p>
        </w:tc>
        <w:tc>
          <w:tcPr>
            <w:tcW w:w="705" w:type="dxa"/>
            <w:vAlign w:val="center"/>
          </w:tcPr>
          <w:p>
            <w:pPr>
              <w:adjustRightInd w:val="0"/>
              <w:snapToGrid w:val="0"/>
              <w:spacing w:line="240" w:lineRule="auto"/>
              <w:jc w:val="center"/>
              <w:rPr>
                <w:rFonts w:ascii="仿宋_GB2312" w:hAnsi="仿宋_GB2312" w:eastAsia="仿宋_GB2312" w:cs="仿宋_GB2312"/>
                <w:kern w:val="2"/>
                <w:sz w:val="21"/>
                <w:szCs w:val="21"/>
                <w:highlight w:val="none"/>
                <w:lang w:val="en-US" w:eastAsia="zh-CN" w:bidi="ar-SA"/>
              </w:rPr>
            </w:pPr>
          </w:p>
        </w:tc>
        <w:tc>
          <w:tcPr>
            <w:tcW w:w="735" w:type="dxa"/>
            <w:vAlign w:val="center"/>
          </w:tcPr>
          <w:p>
            <w:pPr>
              <w:adjustRightInd w:val="0"/>
              <w:snapToGrid w:val="0"/>
              <w:spacing w:line="240" w:lineRule="auto"/>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4</w:t>
            </w:r>
          </w:p>
        </w:tc>
        <w:tc>
          <w:tcPr>
            <w:tcW w:w="705" w:type="dxa"/>
            <w:vAlign w:val="center"/>
          </w:tcPr>
          <w:p>
            <w:pPr>
              <w:adjustRightInd w:val="0"/>
              <w:snapToGrid w:val="0"/>
              <w:spacing w:line="240" w:lineRule="auto"/>
              <w:jc w:val="center"/>
              <w:rPr>
                <w:rFonts w:hint="eastAsia" w:ascii="仿宋_GB2312" w:hAnsi="仿宋_GB2312" w:eastAsia="仿宋_GB2312" w:cs="仿宋_GB2312"/>
                <w:kern w:val="2"/>
                <w:sz w:val="21"/>
                <w:szCs w:val="21"/>
                <w:highlight w:val="none"/>
                <w:lang w:val="en-US" w:eastAsia="zh-CN" w:bidi="ar-SA"/>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烹饪工艺美术</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KCCL330</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18</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智能烹饪基础</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KCCL340</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hint="default" w:ascii="仿宋_GB2312" w:hAnsi="仿宋_GB2312" w:eastAsia="仿宋_GB2312" w:cs="仿宋_GB2312"/>
                <w:color w:val="auto"/>
                <w:szCs w:val="21"/>
              </w:rPr>
              <w:t>36</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风味小吃制作</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KCCL341</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hint="default" w:ascii="仿宋_GB2312" w:hAnsi="仿宋_GB2312" w:eastAsia="仿宋_GB2312" w:cs="仿宋_GB2312"/>
                <w:color w:val="auto"/>
                <w:szCs w:val="21"/>
              </w:rPr>
              <w:t>54</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690" w:type="dxa"/>
            <w:vAlign w:val="center"/>
          </w:tcPr>
          <w:p>
            <w:pPr>
              <w:adjustRightInd w:val="0"/>
              <w:snapToGrid w:val="0"/>
              <w:spacing w:line="240"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hint="default" w:ascii="仿宋_GB2312" w:hAnsi="仿宋_GB2312" w:eastAsia="仿宋_GB2312" w:cs="仿宋_GB2312"/>
                <w:szCs w:val="21"/>
              </w:rPr>
              <w:t>3</w:t>
            </w: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2528"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名点赏析与制作</w:t>
            </w:r>
          </w:p>
        </w:tc>
        <w:tc>
          <w:tcPr>
            <w:tcW w:w="1730" w:type="dxa"/>
            <w:vAlign w:val="center"/>
          </w:tcPr>
          <w:p>
            <w:pPr>
              <w:adjustRightInd w:val="0"/>
              <w:snapToGrid w:val="0"/>
              <w:spacing w:line="240" w:lineRule="auto"/>
              <w:jc w:val="center"/>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KCCL342</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ascii="仿宋_GB2312" w:hAnsi="仿宋_GB2312" w:eastAsia="仿宋_GB2312" w:cs="仿宋_GB2312"/>
                <w:color w:val="auto"/>
                <w:szCs w:val="21"/>
              </w:rPr>
              <w:t>72</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56</w:t>
            </w:r>
          </w:p>
        </w:tc>
        <w:tc>
          <w:tcPr>
            <w:tcW w:w="82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hint="default" w:ascii="仿宋_GB2312" w:hAnsi="仿宋_GB2312" w:eastAsia="仿宋_GB2312" w:cs="仿宋_GB2312"/>
                <w:szCs w:val="21"/>
              </w:rPr>
            </w:pPr>
            <w:r>
              <w:rPr>
                <w:rFonts w:ascii="仿宋_GB2312" w:hAnsi="仿宋_GB2312" w:eastAsia="仿宋_GB2312" w:cs="仿宋_GB2312"/>
                <w:szCs w:val="21"/>
              </w:rPr>
              <w:t>4</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240" w:lineRule="auto"/>
              <w:ind w:left="113" w:right="113"/>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7.7</w:t>
            </w:r>
            <w:r>
              <w:rPr>
                <w:rFonts w:hint="eastAsia" w:ascii="仿宋_GB2312" w:hAnsi="仿宋_GB2312" w:eastAsia="仿宋_GB2312" w:cs="仿宋_GB2312"/>
                <w:szCs w:val="21"/>
              </w:rPr>
              <w:t>%）</w:t>
            </w:r>
          </w:p>
        </w:tc>
        <w:tc>
          <w:tcPr>
            <w:tcW w:w="975" w:type="dxa"/>
            <w:vAlign w:val="center"/>
          </w:tcPr>
          <w:p>
            <w:pPr>
              <w:adjustRightInd w:val="0"/>
              <w:snapToGrid w:val="0"/>
              <w:spacing w:line="240" w:lineRule="auto"/>
              <w:jc w:val="center"/>
              <w:rPr>
                <w:rFonts w:hint="default"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 </w:t>
            </w:r>
            <w:r>
              <w:rPr>
                <w:rFonts w:hint="eastAsia" w:ascii="仿宋_GB2312" w:hAnsi="仿宋_GB2312" w:eastAsia="仿宋_GB2312" w:cs="仿宋_GB2312"/>
                <w:color w:val="auto"/>
                <w:szCs w:val="21"/>
                <w:lang w:val="en-US" w:eastAsia="zh-CN"/>
              </w:rPr>
              <w:t>252</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52</w:t>
            </w:r>
          </w:p>
        </w:tc>
        <w:tc>
          <w:tcPr>
            <w:tcW w:w="76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200</w:t>
            </w:r>
          </w:p>
        </w:tc>
        <w:tc>
          <w:tcPr>
            <w:tcW w:w="82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14</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color w:val="auto"/>
                <w:szCs w:val="21"/>
              </w:rPr>
              <w:t xml:space="preserve"> </w:t>
            </w:r>
          </w:p>
        </w:tc>
        <w:tc>
          <w:tcPr>
            <w:tcW w:w="4500" w:type="dxa"/>
            <w:gridSpan w:val="6"/>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restart"/>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highlight w:val="none"/>
              </w:rPr>
              <w:t>实习</w:t>
            </w:r>
            <w:r>
              <w:rPr>
                <w:rFonts w:hint="eastAsia" w:ascii="仿宋_GB2312" w:hAnsi="仿宋_GB2312" w:eastAsia="仿宋_GB2312" w:cs="仿宋_GB2312"/>
                <w:szCs w:val="21"/>
              </w:rPr>
              <w:t>实训</w:t>
            </w: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adjustRightInd w:val="0"/>
              <w:snapToGrid w:val="0"/>
              <w:spacing w:line="240"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15</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中式面点制作综合实训</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西式面点制作综合实训</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97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90"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69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99"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603" w:type="dxa"/>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975" w:type="dxa"/>
            <w:vAlign w:val="center"/>
          </w:tcPr>
          <w:p>
            <w:pPr>
              <w:adjustRightInd w:val="0"/>
              <w:snapToGrid w:val="0"/>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1071</w:t>
            </w:r>
          </w:p>
        </w:tc>
        <w:tc>
          <w:tcPr>
            <w:tcW w:w="765" w:type="dxa"/>
            <w:vAlign w:val="center"/>
          </w:tcPr>
          <w:p>
            <w:pPr>
              <w:adjustRightInd w:val="0"/>
              <w:snapToGrid w:val="0"/>
              <w:spacing w:line="240"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59</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4500" w:type="dxa"/>
            <w:gridSpan w:val="6"/>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1102" w:type="dxa"/>
            <w:gridSpan w:val="2"/>
            <w:vMerge w:val="restart"/>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adjustRightInd w:val="0"/>
              <w:snapToGrid w:val="0"/>
              <w:spacing w:line="240"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30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97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1周 </w:t>
            </w: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1102" w:type="dxa"/>
            <w:gridSpan w:val="2"/>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814" w:type="dxa"/>
            <w:vAlign w:val="center"/>
          </w:tcPr>
          <w:p>
            <w:pPr>
              <w:adjustRightInd w:val="0"/>
              <w:snapToGrid w:val="0"/>
              <w:spacing w:line="240" w:lineRule="auto"/>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970"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735" w:type="dxa"/>
            <w:vAlign w:val="center"/>
          </w:tcPr>
          <w:p>
            <w:pPr>
              <w:adjustRightInd w:val="0"/>
              <w:snapToGrid w:val="0"/>
              <w:spacing w:line="240" w:lineRule="auto"/>
              <w:jc w:val="center"/>
              <w:rPr>
                <w:rFonts w:ascii="仿宋_GB2312" w:hAnsi="仿宋_GB2312" w:eastAsia="仿宋_GB2312" w:cs="仿宋_GB2312"/>
                <w:szCs w:val="21"/>
              </w:rPr>
            </w:pPr>
          </w:p>
        </w:tc>
        <w:tc>
          <w:tcPr>
            <w:tcW w:w="705" w:type="dxa"/>
            <w:vAlign w:val="center"/>
          </w:tcPr>
          <w:p>
            <w:pPr>
              <w:adjustRightInd w:val="0"/>
              <w:snapToGrid w:val="0"/>
              <w:spacing w:line="240" w:lineRule="auto"/>
              <w:jc w:val="center"/>
              <w:rPr>
                <w:rFonts w:ascii="仿宋_GB2312" w:hAnsi="仿宋_GB2312" w:eastAsia="仿宋_GB2312" w:cs="仿宋_GB2312"/>
                <w:szCs w:val="21"/>
              </w:rPr>
            </w:pP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695" w:type="dxa"/>
            <w:vAlign w:val="center"/>
          </w:tcPr>
          <w:p>
            <w:pPr>
              <w:adjustRightInd w:val="0"/>
              <w:snapToGrid w:val="0"/>
              <w:spacing w:line="240"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1102" w:type="dxa"/>
            <w:gridSpan w:val="2"/>
            <w:vMerge w:val="continue"/>
            <w:vAlign w:val="center"/>
          </w:tcPr>
          <w:p>
            <w:pPr>
              <w:adjustRightInd w:val="0"/>
              <w:snapToGrid w:val="0"/>
              <w:spacing w:line="240" w:lineRule="auto"/>
              <w:jc w:val="center"/>
              <w:rPr>
                <w:rFonts w:ascii="仿宋_GB2312" w:hAnsi="仿宋_GB2312" w:eastAsia="仿宋_GB2312" w:cs="仿宋_GB2312"/>
                <w:szCs w:val="21"/>
              </w:rPr>
            </w:pPr>
          </w:p>
        </w:tc>
        <w:tc>
          <w:tcPr>
            <w:tcW w:w="5072" w:type="dxa"/>
            <w:gridSpan w:val="3"/>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97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4500" w:type="dxa"/>
            <w:gridSpan w:val="6"/>
            <w:vAlign w:val="center"/>
          </w:tcPr>
          <w:p>
            <w:pPr>
              <w:adjustRightInd w:val="0"/>
              <w:snapToGrid w:val="0"/>
              <w:spacing w:line="240" w:lineRule="auto"/>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6174" w:type="dxa"/>
            <w:gridSpan w:val="5"/>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975" w:type="dxa"/>
            <w:vAlign w:val="center"/>
          </w:tcPr>
          <w:p>
            <w:pPr>
              <w:adjustRightInd w:val="0"/>
              <w:snapToGrid w:val="0"/>
              <w:spacing w:line="240" w:lineRule="auto"/>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32</w:t>
            </w:r>
            <w:r>
              <w:rPr>
                <w:rFonts w:hint="eastAsia" w:ascii="仿宋_GB2312" w:hAnsi="仿宋_GB2312" w:eastAsia="仿宋_GB2312" w:cs="仿宋_GB2312"/>
                <w:szCs w:val="21"/>
                <w:lang w:val="en-US" w:eastAsia="zh-CN"/>
              </w:rPr>
              <w:t>94</w:t>
            </w:r>
          </w:p>
        </w:tc>
        <w:tc>
          <w:tcPr>
            <w:tcW w:w="765" w:type="dxa"/>
            <w:vAlign w:val="center"/>
          </w:tcPr>
          <w:p>
            <w:pPr>
              <w:adjustRightInd w:val="0"/>
              <w:snapToGrid w:val="0"/>
              <w:spacing w:line="240" w:lineRule="auto"/>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1183</w:t>
            </w:r>
            <w:r>
              <w:rPr>
                <w:rFonts w:hint="eastAsia" w:ascii="仿宋_GB2312" w:hAnsi="仿宋_GB2312" w:eastAsia="仿宋_GB2312" w:cs="仿宋_GB2312"/>
                <w:szCs w:val="21"/>
                <w:highlight w:val="none"/>
              </w:rPr>
              <w:t xml:space="preserve"> </w:t>
            </w:r>
          </w:p>
        </w:tc>
        <w:tc>
          <w:tcPr>
            <w:tcW w:w="765" w:type="dxa"/>
            <w:vAlign w:val="center"/>
          </w:tcPr>
          <w:p>
            <w:pPr>
              <w:adjustRightInd w:val="0"/>
              <w:snapToGrid w:val="0"/>
              <w:spacing w:line="240" w:lineRule="auto"/>
              <w:jc w:val="center"/>
              <w:rPr>
                <w:rFonts w:hint="default"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2111</w:t>
            </w:r>
          </w:p>
        </w:tc>
        <w:tc>
          <w:tcPr>
            <w:tcW w:w="825" w:type="dxa"/>
            <w:vAlign w:val="center"/>
          </w:tcPr>
          <w:p>
            <w:pPr>
              <w:adjustRightInd w:val="0"/>
              <w:snapToGrid w:val="0"/>
              <w:spacing w:line="240" w:lineRule="auto"/>
              <w:jc w:val="center"/>
              <w:rPr>
                <w:rFonts w:hint="default"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lang w:val="en-US" w:eastAsia="zh-CN"/>
              </w:rPr>
              <w:t>182</w:t>
            </w:r>
          </w:p>
        </w:tc>
        <w:tc>
          <w:tcPr>
            <w:tcW w:w="690" w:type="dxa"/>
            <w:vAlign w:val="center"/>
          </w:tcPr>
          <w:p>
            <w:pPr>
              <w:adjustRightInd w:val="0"/>
              <w:snapToGrid w:val="0"/>
              <w:spacing w:line="240" w:lineRule="auto"/>
              <w:jc w:val="center"/>
              <w:rPr>
                <w:rFonts w:ascii="仿宋_GB2312" w:hAnsi="仿宋_GB2312" w:eastAsia="仿宋_GB2312" w:cs="仿宋_GB2312"/>
                <w:szCs w:val="21"/>
              </w:rPr>
            </w:pPr>
          </w:p>
        </w:tc>
        <w:tc>
          <w:tcPr>
            <w:tcW w:w="970"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3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0"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5" w:type="dxa"/>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444" w:type="dxa"/>
            <w:gridSpan w:val="4"/>
            <w:vAlign w:val="center"/>
          </w:tcPr>
          <w:p>
            <w:pPr>
              <w:adjustRightInd w:val="0"/>
              <w:snapToGrid w:val="0"/>
              <w:spacing w:line="240" w:lineRule="auto"/>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0250" w:type="dxa"/>
            <w:gridSpan w:val="12"/>
            <w:vAlign w:val="center"/>
          </w:tcPr>
          <w:p>
            <w:pPr>
              <w:adjustRightInd w:val="0"/>
              <w:snapToGrid w:val="0"/>
              <w:spacing w:line="240"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ascii="黑体" w:hAnsi="黑体" w:eastAsia="黑体" w:cs="黑体"/>
          <w:kern w:val="0"/>
          <w:sz w:val="32"/>
          <w:szCs w:val="32"/>
          <w:shd w:val="clear" w:color="auto" w:fill="FFFFFF"/>
          <w:lang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widowControl/>
        <w:shd w:val="clear" w:color="auto" w:fill="FFFFFF"/>
        <w:spacing w:line="520" w:lineRule="exact"/>
        <w:ind w:firstLine="480" w:firstLineChars="200"/>
        <w:jc w:val="left"/>
        <w:rPr>
          <w:rFonts w:hint="default" w:ascii="黑体" w:hAnsi="黑体" w:eastAsia="黑体" w:cs="黑体"/>
          <w:kern w:val="0"/>
          <w:sz w:val="32"/>
          <w:szCs w:val="32"/>
          <w:shd w:val="clear" w:color="auto" w:fill="FFFFFF"/>
          <w:lang w:val="en-US" w:bidi="ar"/>
        </w:rPr>
        <w:sectPr>
          <w:pgSz w:w="16838" w:h="11906" w:orient="landscape"/>
          <w:pgMar w:top="1531" w:right="2041" w:bottom="1531" w:left="1984" w:header="851" w:footer="992" w:gutter="0"/>
          <w:pgNumType w:fmt="decimal"/>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4.本专业公共基础课程1098课时，占比为33.3%；实践课程2111课时，占比为64.1%。</w:t>
      </w:r>
    </w:p>
    <w:p>
      <w:pPr>
        <w:pStyle w:val="15"/>
        <w:adjustRightInd w:val="0"/>
        <w:snapToGrid w:val="0"/>
        <w:spacing w:before="0" w:beforeAutospacing="0" w:after="0" w:afterAutospacing="0" w:line="560" w:lineRule="exact"/>
        <w:ind w:firstLine="640" w:firstLineChars="200"/>
        <w:outlineLvl w:val="0"/>
        <w:rPr>
          <w:rFonts w:hint="eastAsia" w:ascii="黑体" w:hAnsi="黑体" w:eastAsia="黑体" w:cs="黑体"/>
          <w:sz w:val="32"/>
          <w:szCs w:val="32"/>
          <w:lang w:val="en-US" w:eastAsia="zh-CN"/>
        </w:rPr>
      </w:pPr>
      <w:bookmarkStart w:id="50" w:name="_Toc20588"/>
      <w:bookmarkStart w:id="51" w:name="_Toc20794"/>
      <w:r>
        <w:rPr>
          <w:rFonts w:hint="eastAsia" w:ascii="黑体" w:hAnsi="黑体" w:eastAsia="黑体" w:cs="黑体"/>
          <w:sz w:val="32"/>
          <w:szCs w:val="32"/>
          <w:lang w:val="en-US" w:eastAsia="zh-CN"/>
        </w:rPr>
        <w:t>十、实施保障</w:t>
      </w:r>
      <w:bookmarkEnd w:id="50"/>
      <w:bookmarkEnd w:id="51"/>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52" w:name="_Toc13474"/>
      <w:bookmarkStart w:id="53" w:name="_Toc28685"/>
      <w:r>
        <w:rPr>
          <w:rFonts w:hint="eastAsia" w:ascii="楷体" w:hAnsi="楷体" w:eastAsia="楷体" w:cs="楷体"/>
          <w:sz w:val="32"/>
          <w:szCs w:val="32"/>
          <w:lang w:val="en-US" w:eastAsia="zh-CN" w:bidi="ar"/>
        </w:rPr>
        <w:t>（一）师资队伍</w:t>
      </w:r>
      <w:bookmarkEnd w:id="52"/>
      <w:bookmarkEnd w:id="53"/>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54" w:name="_Toc7683"/>
      <w:r>
        <w:rPr>
          <w:rFonts w:hint="eastAsia" w:ascii="仿宋_GB2312" w:hAnsi="仿宋_GB2312" w:eastAsia="仿宋_GB2312" w:cs="仿宋_GB2312"/>
          <w:sz w:val="32"/>
          <w:szCs w:val="32"/>
          <w:lang w:val="en-US" w:eastAsia="zh-CN"/>
        </w:rPr>
        <w:t>1.队伍结构</w:t>
      </w:r>
      <w:bookmarkEnd w:id="54"/>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专业师资要符合教育部《中等职业学校教师专业标准》《中等职业学校设置标准》和《山东省中等职业学校专业建设标准》中对教师数量、结构和素质的基本要求。</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55" w:name="_Toc31240"/>
      <w:r>
        <w:rPr>
          <w:rFonts w:hint="eastAsia" w:ascii="仿宋_GB2312" w:hAnsi="仿宋_GB2312" w:eastAsia="仿宋_GB2312" w:cs="仿宋_GB2312"/>
          <w:sz w:val="32"/>
          <w:szCs w:val="32"/>
          <w:lang w:val="en-US" w:eastAsia="zh-CN"/>
        </w:rPr>
        <w:t>2.专业教师数量及结构要求</w:t>
      </w:r>
      <w:bookmarkEnd w:id="55"/>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专业作为山东省合格专业，共有专业教师8人，师生比为1:28；其中本科学历6人，占比75%，研究生以上学历2人，占比25%，高级职称教师2人，占比25%；具有“双师型”资格教师6人，占专业教师总数的75%；本专业从企业聘请2人担任兼职专业教师，占专业教师总数的25%。</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56" w:name="_Toc25776"/>
      <w:r>
        <w:rPr>
          <w:rFonts w:hint="eastAsia" w:ascii="仿宋_GB2312" w:hAnsi="仿宋_GB2312" w:eastAsia="仿宋_GB2312" w:cs="仿宋_GB2312"/>
          <w:sz w:val="32"/>
          <w:szCs w:val="32"/>
          <w:lang w:val="en-US" w:eastAsia="zh-CN"/>
        </w:rPr>
        <w:t>3.专业带头人</w:t>
      </w:r>
      <w:bookmarkEnd w:id="56"/>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团队带头人业务水平高，应具有本专业及相关专业大学本科以上学历，副高以上职称以及较强的实践能力，能广泛联系行业企业，了解国内外餐饮及食品制造行业发展新趋势，准确掌握行业企业用人需求，具有组织开展专业建设、课程开发、教科研工作和企业服务能力，在本专业教学改革发展中起到引领示范作用。</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57" w:name="_Toc4864"/>
      <w:r>
        <w:rPr>
          <w:rFonts w:hint="eastAsia" w:ascii="仿宋_GB2312" w:hAnsi="仿宋_GB2312" w:eastAsia="仿宋_GB2312" w:cs="仿宋_GB2312"/>
          <w:sz w:val="32"/>
          <w:szCs w:val="32"/>
          <w:lang w:val="en-US" w:eastAsia="zh-CN"/>
        </w:rPr>
        <w:t>4.专任教师</w:t>
      </w:r>
      <w:bookmarkEnd w:id="57"/>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bookmarkStart w:id="58" w:name="_Toc15847"/>
      <w:r>
        <w:rPr>
          <w:rFonts w:hint="eastAsia" w:ascii="仿宋_GB2312" w:hAnsi="仿宋_GB2312" w:eastAsia="仿宋_GB2312" w:cs="仿宋_GB2312"/>
          <w:sz w:val="32"/>
          <w:szCs w:val="32"/>
          <w:lang w:val="en-US" w:eastAsia="zh-CN"/>
        </w:rPr>
        <w:t>5.兼职教师</w:t>
      </w:r>
      <w:bookmarkEnd w:id="58"/>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从本专业相关行业企业聘任，要求具有良好的思想政治素质、职业道德和工匠精神；具有扎实的专业知识和丰富实践经验，高级以上职称，能承担《中式面点制作》、《西式面点制作》、《面包课堂》、《花饽饽制作》等专业技能课程教学，胜任中式面点、西式面点、烘焙等岗位的实习实训指导和学生职业发展规划指导等任务。</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59" w:name="_Toc22633"/>
      <w:bookmarkStart w:id="60" w:name="_Toc22940"/>
      <w:r>
        <w:rPr>
          <w:rFonts w:hint="eastAsia" w:ascii="楷体" w:hAnsi="楷体" w:eastAsia="楷体" w:cs="楷体"/>
          <w:sz w:val="32"/>
          <w:szCs w:val="32"/>
          <w:lang w:val="en-US" w:eastAsia="zh-CN" w:bidi="ar"/>
        </w:rPr>
        <w:t>（二）教学设施</w:t>
      </w:r>
      <w:bookmarkEnd w:id="59"/>
      <w:bookmarkEnd w:id="60"/>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主要包括能够满足正常教学的课程教学、实习实训所需要的专业教室、校内实训室和校外实习基地。</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61" w:name="_Toc14187"/>
      <w:r>
        <w:rPr>
          <w:rFonts w:hint="eastAsia" w:ascii="仿宋_GB2312" w:hAnsi="仿宋_GB2312" w:eastAsia="仿宋_GB2312" w:cs="仿宋_GB2312"/>
          <w:sz w:val="32"/>
          <w:szCs w:val="32"/>
          <w:lang w:val="en-US" w:eastAsia="zh-CN"/>
        </w:rPr>
        <w:t>1.专业教室基本条件</w:t>
      </w:r>
      <w:bookmarkEnd w:id="61"/>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室配备黑（白）板、希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62" w:name="_Toc14506"/>
      <w:r>
        <w:rPr>
          <w:rFonts w:hint="eastAsia" w:ascii="仿宋_GB2312" w:hAnsi="仿宋_GB2312" w:eastAsia="仿宋_GB2312" w:cs="仿宋_GB2312"/>
          <w:sz w:val="32"/>
          <w:szCs w:val="32"/>
          <w:lang w:val="en-US" w:eastAsia="zh-CN"/>
        </w:rPr>
        <w:t>2.校内外实训场所基本要求</w:t>
      </w:r>
      <w:bookmarkEnd w:id="62"/>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校内实训室有六个，分别是面点基本功实训室、中西面点演示室、中点实训室1、中点实训室2、西点实训室1、蓝海御华茶点吧实训车间</w:t>
      </w:r>
    </w:p>
    <w:p>
      <w:pPr>
        <w:autoSpaceDE w:val="0"/>
        <w:autoSpaceDN w:val="0"/>
        <w:adjustRightInd w:val="0"/>
        <w:spacing w:line="560" w:lineRule="exact"/>
        <w:jc w:val="center"/>
        <w:rPr>
          <w:rFonts w:ascii="仿宋_GB2312" w:hAnsi="仿宋_GB2312" w:eastAsia="仿宋_GB2312" w:cs="仿宋_GB2312"/>
          <w:sz w:val="32"/>
          <w:szCs w:val="32"/>
        </w:rPr>
      </w:pPr>
      <w:r>
        <w:rPr>
          <w:rFonts w:hint="eastAsia" w:ascii="黑体" w:hAnsi="黑体" w:eastAsia="黑体" w:cs="黑体"/>
          <w:sz w:val="24"/>
        </w:rPr>
        <w:t xml:space="preserve">表10  </w:t>
      </w:r>
      <w:r>
        <w:rPr>
          <w:rFonts w:hint="default" w:ascii="黑体" w:hAnsi="黑体" w:eastAsia="黑体" w:cs="黑体"/>
          <w:sz w:val="24"/>
        </w:rPr>
        <w:t>中西面点</w:t>
      </w:r>
      <w:r>
        <w:rPr>
          <w:rFonts w:hint="eastAsia" w:ascii="黑体" w:hAnsi="黑体" w:eastAsia="黑体" w:cs="黑体"/>
          <w:sz w:val="24"/>
        </w:rPr>
        <w:t>专业实训室一览表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85"/>
        <w:gridCol w:w="1421"/>
        <w:gridCol w:w="1088"/>
        <w:gridCol w:w="1956"/>
        <w:gridCol w:w="1060"/>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97"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序号</w:t>
            </w:r>
          </w:p>
        </w:tc>
        <w:tc>
          <w:tcPr>
            <w:tcW w:w="1485"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实训室功能</w:t>
            </w:r>
          </w:p>
        </w:tc>
        <w:tc>
          <w:tcPr>
            <w:tcW w:w="1421"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实训室名称</w:t>
            </w:r>
          </w:p>
        </w:tc>
        <w:tc>
          <w:tcPr>
            <w:tcW w:w="1088"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数量</w:t>
            </w:r>
          </w:p>
        </w:tc>
        <w:tc>
          <w:tcPr>
            <w:tcW w:w="1956"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设施设备</w:t>
            </w:r>
          </w:p>
        </w:tc>
        <w:tc>
          <w:tcPr>
            <w:tcW w:w="1060"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个数</w:t>
            </w:r>
          </w:p>
        </w:tc>
        <w:tc>
          <w:tcPr>
            <w:tcW w:w="1253" w:type="dxa"/>
            <w:vAlign w:val="center"/>
          </w:tcPr>
          <w:p>
            <w:pPr>
              <w:jc w:val="center"/>
              <w:rPr>
                <w:rFonts w:hint="eastAsia" w:ascii="黑体" w:hAnsi="黑体" w:eastAsia="黑体" w:cs="黑体"/>
                <w:szCs w:val="21"/>
                <w:lang w:eastAsia="zh-CN"/>
              </w:rPr>
            </w:pPr>
            <w:r>
              <w:rPr>
                <w:rFonts w:hint="eastAsia" w:ascii="黑体" w:hAnsi="黑体" w:eastAsia="黑体" w:cs="黑体"/>
                <w:szCs w:val="21"/>
                <w:lang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1</w:t>
            </w:r>
          </w:p>
        </w:tc>
        <w:tc>
          <w:tcPr>
            <w:tcW w:w="1485"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 xml:space="preserve">技能实训室  </w:t>
            </w:r>
          </w:p>
        </w:tc>
        <w:tc>
          <w:tcPr>
            <w:tcW w:w="1421"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中式面点</w:t>
            </w:r>
          </w:p>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 xml:space="preserve">实训室  </w:t>
            </w:r>
          </w:p>
        </w:tc>
        <w:tc>
          <w:tcPr>
            <w:tcW w:w="1088"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开水机</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冰箱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中点实训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烤箱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醒发箱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4</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蒸柜</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8</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压面机</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西式面点</w:t>
            </w:r>
          </w:p>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 xml:space="preserve">实训室 </w:t>
            </w:r>
          </w:p>
        </w:tc>
        <w:tc>
          <w:tcPr>
            <w:tcW w:w="1088"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1</w:t>
            </w: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开酥机</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1</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双动和面机</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西点烘焙</w:t>
            </w:r>
          </w:p>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压面机</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醒发箱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2</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w:t>
            </w:r>
          </w:p>
        </w:tc>
        <w:tc>
          <w:tcPr>
            <w:tcW w:w="1485"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 xml:space="preserve">基础实训室 </w:t>
            </w:r>
          </w:p>
        </w:tc>
        <w:tc>
          <w:tcPr>
            <w:tcW w:w="1421"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面点基本功</w:t>
            </w:r>
          </w:p>
          <w:p>
            <w:p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 xml:space="preserve">实训室 </w:t>
            </w:r>
          </w:p>
        </w:tc>
        <w:tc>
          <w:tcPr>
            <w:tcW w:w="1088"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1</w:t>
            </w: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木质案台</w:t>
            </w:r>
          </w:p>
        </w:tc>
        <w:tc>
          <w:tcPr>
            <w:tcW w:w="1060" w:type="dxa"/>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8</w:t>
            </w:r>
          </w:p>
        </w:tc>
        <w:tc>
          <w:tcPr>
            <w:tcW w:w="1253"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基本功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不锈钢案台</w:t>
            </w:r>
          </w:p>
        </w:tc>
        <w:tc>
          <w:tcPr>
            <w:tcW w:w="1060" w:type="dxa"/>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3</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97"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3</w:t>
            </w:r>
          </w:p>
        </w:tc>
        <w:tc>
          <w:tcPr>
            <w:tcW w:w="1485"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演示室</w:t>
            </w:r>
          </w:p>
        </w:tc>
        <w:tc>
          <w:tcPr>
            <w:tcW w:w="1421"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中西面点</w:t>
            </w:r>
          </w:p>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演示室</w:t>
            </w:r>
          </w:p>
        </w:tc>
        <w:tc>
          <w:tcPr>
            <w:tcW w:w="1088" w:type="dxa"/>
            <w:vMerge w:val="restart"/>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1</w:t>
            </w: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醒发箱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1</w:t>
            </w:r>
          </w:p>
        </w:tc>
        <w:tc>
          <w:tcPr>
            <w:tcW w:w="1253"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面点演示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97" w:type="dxa"/>
            <w:vMerge w:val="continue"/>
            <w:vAlign w:val="center"/>
          </w:tcPr>
          <w:p>
            <w:pPr>
              <w:spacing w:line="340" w:lineRule="exact"/>
              <w:jc w:val="center"/>
              <w:rPr>
                <w:rFonts w:hint="default"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default"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default"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default" w:ascii="仿宋_GB2312" w:hAnsi="仿宋_GB2312" w:eastAsia="仿宋_GB2312" w:cs="仿宋_GB2312"/>
                <w:szCs w:val="21"/>
                <w:lang w:eastAsia="zh-CN"/>
              </w:rPr>
            </w:pPr>
          </w:p>
        </w:tc>
        <w:tc>
          <w:tcPr>
            <w:tcW w:w="1956"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双动和面机</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1</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85"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421"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088" w:type="dxa"/>
            <w:vMerge w:val="continue"/>
            <w:vAlign w:val="center"/>
          </w:tcPr>
          <w:p>
            <w:pPr>
              <w:spacing w:line="340" w:lineRule="exact"/>
              <w:jc w:val="center"/>
              <w:rPr>
                <w:rFonts w:hint="eastAsia" w:ascii="仿宋_GB2312" w:hAnsi="仿宋_GB2312" w:eastAsia="仿宋_GB2312" w:cs="仿宋_GB2312"/>
                <w:szCs w:val="21"/>
                <w:lang w:eastAsia="zh-CN"/>
              </w:rPr>
            </w:pPr>
          </w:p>
        </w:tc>
        <w:tc>
          <w:tcPr>
            <w:tcW w:w="1956" w:type="dxa"/>
            <w:vAlign w:val="center"/>
          </w:tcPr>
          <w:p>
            <w:pPr>
              <w:spacing w:line="340" w:lineRule="exact"/>
              <w:jc w:val="center"/>
              <w:rPr>
                <w:rFonts w:hint="eastAsia" w:ascii="仿宋_GB2312" w:hAnsi="仿宋_GB2312" w:eastAsia="仿宋_GB2312" w:cs="仿宋_GB2312"/>
                <w:szCs w:val="21"/>
                <w:lang w:eastAsia="zh-CN"/>
              </w:rPr>
            </w:pPr>
            <w:r>
              <w:rPr>
                <w:rFonts w:hint="default" w:ascii="仿宋_GB2312" w:hAnsi="仿宋_GB2312" w:eastAsia="仿宋_GB2312" w:cs="仿宋_GB2312"/>
                <w:szCs w:val="21"/>
                <w:lang w:eastAsia="zh-CN"/>
              </w:rPr>
              <w:t>烤箱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1</w:t>
            </w:r>
          </w:p>
        </w:tc>
        <w:tc>
          <w:tcPr>
            <w:tcW w:w="1253" w:type="dxa"/>
            <w:vMerge w:val="continue"/>
            <w:vAlign w:val="center"/>
          </w:tcPr>
          <w:p>
            <w:pPr>
              <w:spacing w:line="340" w:lineRule="exact"/>
              <w:jc w:val="center"/>
              <w:rPr>
                <w:rFonts w:hint="eastAsia" w:ascii="仿宋_GB2312" w:hAnsi="仿宋_GB2312" w:eastAsia="仿宋_GB2312"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97" w:type="dxa"/>
            <w:vMerge w:val="restart"/>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4</w:t>
            </w:r>
          </w:p>
        </w:tc>
        <w:tc>
          <w:tcPr>
            <w:tcW w:w="1485"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产教结合</w:t>
            </w:r>
          </w:p>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车间</w:t>
            </w:r>
          </w:p>
        </w:tc>
        <w:tc>
          <w:tcPr>
            <w:tcW w:w="1421"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茶点吧</w:t>
            </w:r>
          </w:p>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实训车间</w:t>
            </w:r>
          </w:p>
        </w:tc>
        <w:tc>
          <w:tcPr>
            <w:tcW w:w="1088" w:type="dxa"/>
            <w:vMerge w:val="restart"/>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1</w:t>
            </w:r>
          </w:p>
        </w:tc>
        <w:tc>
          <w:tcPr>
            <w:tcW w:w="1956"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烤箱</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2</w:t>
            </w:r>
          </w:p>
        </w:tc>
        <w:tc>
          <w:tcPr>
            <w:tcW w:w="1253" w:type="dxa"/>
            <w:vMerge w:val="restart"/>
            <w:vAlign w:val="center"/>
          </w:tcPr>
          <w:p>
            <w:pPr>
              <w:spacing w:line="340" w:lineRule="exact"/>
              <w:jc w:val="center"/>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485"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421"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0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956"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双动和面机</w:t>
            </w:r>
            <w:r>
              <w:rPr>
                <w:rFonts w:hint="eastAsia" w:ascii="仿宋_GB2312" w:hAnsi="仿宋_GB2312" w:eastAsia="仿宋_GB2312" w:cs="仿宋_GB2312"/>
                <w:szCs w:val="21"/>
                <w:lang w:eastAsia="zh-CN"/>
              </w:rPr>
              <w:t xml:space="preserve"> </w:t>
            </w:r>
          </w:p>
        </w:tc>
        <w:tc>
          <w:tcPr>
            <w:tcW w:w="1060"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2</w:t>
            </w:r>
          </w:p>
        </w:tc>
        <w:tc>
          <w:tcPr>
            <w:tcW w:w="1253"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485"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421"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0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ascii="仿宋_GB2312" w:hAnsi="仿宋_GB2312" w:eastAsia="仿宋_GB2312" w:cs="仿宋_GB2312"/>
                <w:sz w:val="24"/>
              </w:rPr>
            </w:pPr>
          </w:p>
        </w:tc>
        <w:tc>
          <w:tcPr>
            <w:tcW w:w="1956"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冰箱</w:t>
            </w:r>
          </w:p>
        </w:tc>
        <w:tc>
          <w:tcPr>
            <w:tcW w:w="1060" w:type="dxa"/>
            <w:vAlign w:val="center"/>
          </w:tcPr>
          <w:p>
            <w:pPr>
              <w:spacing w:line="340" w:lineRule="exact"/>
              <w:jc w:val="center"/>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eastAsia="zh-CN"/>
              </w:rPr>
              <w:t>2</w:t>
            </w:r>
          </w:p>
        </w:tc>
        <w:tc>
          <w:tcPr>
            <w:tcW w:w="1253"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ascii="仿宋_GB2312" w:hAnsi="仿宋_GB2312" w:eastAsia="仿宋_GB2312" w:cs="仿宋_GB2312"/>
                <w:sz w:val="24"/>
              </w:rPr>
            </w:pPr>
          </w:p>
        </w:tc>
      </w:tr>
    </w:tbl>
    <w:p>
      <w:pPr>
        <w:adjustRightInd w:val="0"/>
        <w:snapToGrid w:val="0"/>
        <w:spacing w:line="520" w:lineRule="exact"/>
        <w:ind w:firstLine="640" w:firstLineChars="200"/>
        <w:outlineLvl w:val="2"/>
        <w:rPr>
          <w:rFonts w:hint="eastAsia" w:ascii="仿宋_GB2312" w:hAnsi="仿宋_GB2312" w:eastAsia="仿宋_GB2312" w:cs="仿宋_GB2312"/>
          <w:sz w:val="32"/>
          <w:szCs w:val="32"/>
          <w:lang w:val="en-US" w:eastAsia="zh-CN"/>
        </w:rPr>
      </w:pPr>
      <w:bookmarkStart w:id="63" w:name="_Toc7326"/>
      <w:r>
        <w:rPr>
          <w:rFonts w:hint="eastAsia" w:ascii="仿宋_GB2312" w:hAnsi="仿宋_GB2312" w:eastAsia="仿宋_GB2312" w:cs="仿宋_GB2312"/>
          <w:sz w:val="32"/>
          <w:szCs w:val="32"/>
          <w:lang w:val="en-US" w:eastAsia="zh-CN"/>
        </w:rPr>
        <w:t>3.校外实习场所基本要求</w:t>
      </w:r>
      <w:bookmarkEnd w:id="63"/>
    </w:p>
    <w:p>
      <w:pPr>
        <w:adjustRightInd w:val="0"/>
        <w:snapToGrid w:val="0"/>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djustRightInd w:val="0"/>
        <w:snapToGrid w:val="0"/>
        <w:spacing w:line="520" w:lineRule="exact"/>
        <w:ind w:firstLine="64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32"/>
          <w:szCs w:val="32"/>
          <w:lang w:val="en-US" w:eastAsia="zh-CN"/>
        </w:rPr>
        <w:t xml:space="preserve">根据本专业人才培养的需要，校外实习基地应不少于2个，能够提供中西面点原料选配、中式面点制作、烘焙、西式面点制作、特色小吃制作等实习岗位，可接纳中西面点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r>
        <w:rPr>
          <w:rFonts w:hint="eastAsia" w:ascii="仿宋_GB2312" w:hAnsi="仿宋_GB2312" w:eastAsia="仿宋_GB2312" w:cs="仿宋_GB2312"/>
          <w:sz w:val="24"/>
          <w:szCs w:val="24"/>
          <w:lang w:val="en-US" w:eastAsia="zh-CN"/>
        </w:rPr>
        <w:t xml:space="preserve">             </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24"/>
        </w:rPr>
        <w:t xml:space="preserve">表11  </w:t>
      </w:r>
      <w:r>
        <w:rPr>
          <w:rFonts w:hint="default" w:ascii="黑体" w:hAnsi="黑体" w:eastAsia="黑体" w:cs="黑体"/>
          <w:sz w:val="24"/>
        </w:rPr>
        <w:t>中西面点</w:t>
      </w:r>
      <w:r>
        <w:rPr>
          <w:rFonts w:hint="eastAsia" w:ascii="黑体" w:hAnsi="黑体" w:eastAsia="黑体" w:cs="黑体"/>
          <w:sz w:val="24"/>
        </w:rPr>
        <w:t>专业校外实习基地一览表</w:t>
      </w:r>
    </w:p>
    <w:tbl>
      <w:tblPr>
        <w:tblStyle w:val="16"/>
        <w:tblW w:w="9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adjustRightInd w:val="0"/>
              <w:snapToGrid w:val="0"/>
              <w:spacing w:line="240" w:lineRule="auto"/>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序号</w:t>
            </w:r>
          </w:p>
        </w:tc>
        <w:tc>
          <w:tcPr>
            <w:tcW w:w="2082" w:type="dxa"/>
            <w:vAlign w:val="center"/>
          </w:tcPr>
          <w:p>
            <w:pPr>
              <w:adjustRightInd w:val="0"/>
              <w:snapToGrid w:val="0"/>
              <w:spacing w:line="240" w:lineRule="auto"/>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实习基地</w:t>
            </w:r>
          </w:p>
        </w:tc>
        <w:tc>
          <w:tcPr>
            <w:tcW w:w="5253" w:type="dxa"/>
            <w:vAlign w:val="center"/>
          </w:tcPr>
          <w:p>
            <w:pPr>
              <w:adjustRightInd w:val="0"/>
              <w:snapToGrid w:val="0"/>
              <w:spacing w:line="240" w:lineRule="auto"/>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实习任务及要求</w:t>
            </w:r>
          </w:p>
        </w:tc>
        <w:tc>
          <w:tcPr>
            <w:tcW w:w="1377" w:type="dxa"/>
            <w:vAlign w:val="center"/>
          </w:tcPr>
          <w:p>
            <w:pPr>
              <w:adjustRightInd w:val="0"/>
              <w:snapToGrid w:val="0"/>
              <w:spacing w:line="240" w:lineRule="auto"/>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89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eastAsia="zh-CN"/>
              </w:rPr>
            </w:pPr>
            <w:r>
              <w:rPr>
                <w:rFonts w:hint="eastAsia" w:ascii="仿宋_GB2312" w:hAnsi="仿宋_GB2312" w:eastAsia="仿宋_GB2312" w:cs="仿宋_GB2312"/>
                <w:szCs w:val="21"/>
                <w:lang w:eastAsia="zh-CN"/>
              </w:rPr>
              <w:t>1</w:t>
            </w:r>
          </w:p>
        </w:tc>
        <w:tc>
          <w:tcPr>
            <w:tcW w:w="2082"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eastAsia="zh-CN"/>
              </w:rPr>
            </w:pPr>
            <w:r>
              <w:rPr>
                <w:rFonts w:hint="default" w:ascii="仿宋_GB2312" w:hAnsi="仿宋_GB2312" w:eastAsia="仿宋_GB2312" w:cs="仿宋_GB2312"/>
                <w:szCs w:val="21"/>
                <w:lang w:eastAsia="zh-CN"/>
              </w:rPr>
              <w:t>中西面点</w:t>
            </w:r>
            <w:r>
              <w:rPr>
                <w:rFonts w:hint="eastAsia" w:ascii="仿宋_GB2312" w:hAnsi="仿宋_GB2312" w:eastAsia="仿宋_GB2312" w:cs="仿宋_GB2312"/>
                <w:szCs w:val="21"/>
                <w:lang w:eastAsia="zh-CN"/>
              </w:rPr>
              <w:t>实习基地</w:t>
            </w:r>
          </w:p>
        </w:tc>
        <w:tc>
          <w:tcPr>
            <w:tcW w:w="5253" w:type="dxa"/>
            <w:vAlign w:val="center"/>
          </w:tcPr>
          <w:p>
            <w:pPr>
              <w:keepNext w:val="0"/>
              <w:keepLines w:val="0"/>
              <w:pageBreakBefore w:val="0"/>
              <w:widowControl w:val="0"/>
              <w:kinsoku/>
              <w:wordWrap/>
              <w:overflowPunct/>
              <w:topLinePunct w:val="0"/>
              <w:bidi w:val="0"/>
              <w:adjustRightInd w:val="0"/>
              <w:snapToGrid w:val="0"/>
              <w:spacing w:line="240" w:lineRule="auto"/>
              <w:ind w:firstLine="420" w:firstLineChars="200"/>
              <w:jc w:val="left"/>
              <w:textAlignment w:val="auto"/>
              <w:rPr>
                <w:rFonts w:hint="default" w:ascii="仿宋_GB2312" w:hAnsi="仿宋_GB2312" w:eastAsia="仿宋_GB2312" w:cs="仿宋_GB2312"/>
                <w:b w:val="0"/>
                <w:bCs w:val="0"/>
                <w:szCs w:val="21"/>
                <w:lang w:eastAsia="zh-CN"/>
              </w:rPr>
            </w:pPr>
            <w:r>
              <w:rPr>
                <w:rFonts w:hint="eastAsia" w:ascii="仿宋_GB2312" w:hAnsi="仿宋_GB2312" w:eastAsia="仿宋_GB2312" w:cs="仿宋_GB2312"/>
                <w:szCs w:val="21"/>
                <w:lang w:eastAsia="zh-CN"/>
              </w:rPr>
              <w:t>了解企业的组织架构、规章制度、企业文化和安全生产知识，通过</w:t>
            </w:r>
            <w:r>
              <w:rPr>
                <w:rFonts w:hint="default" w:ascii="仿宋_GB2312" w:hAnsi="仿宋_GB2312" w:eastAsia="仿宋_GB2312" w:cs="仿宋_GB2312"/>
                <w:szCs w:val="21"/>
                <w:lang w:eastAsia="zh-CN"/>
              </w:rPr>
              <w:t>中式面点师</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lang w:eastAsia="zh-CN"/>
              </w:rPr>
              <w:t>西式面点师</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lang w:eastAsia="zh-CN"/>
              </w:rPr>
              <w:t>裱花师、烘焙师</w:t>
            </w:r>
            <w:r>
              <w:rPr>
                <w:rFonts w:hint="eastAsia" w:ascii="仿宋_GB2312" w:hAnsi="仿宋_GB2312" w:eastAsia="仿宋_GB2312" w:cs="仿宋_GB2312"/>
                <w:szCs w:val="21"/>
                <w:lang w:eastAsia="zh-CN"/>
              </w:rPr>
              <w:t>等岗位的实践，掌握</w:t>
            </w:r>
            <w:r>
              <w:rPr>
                <w:rFonts w:hint="default" w:ascii="仿宋_GB2312" w:hAnsi="仿宋_GB2312" w:eastAsia="仿宋_GB2312" w:cs="仿宋_GB2312"/>
                <w:szCs w:val="21"/>
                <w:lang w:eastAsia="zh-CN"/>
              </w:rPr>
              <w:t>面点师</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lang w:eastAsia="zh-CN"/>
              </w:rPr>
              <w:t>烘焙师</w:t>
            </w:r>
            <w:r>
              <w:rPr>
                <w:rFonts w:hint="eastAsia" w:ascii="仿宋_GB2312" w:hAnsi="仿宋_GB2312" w:eastAsia="仿宋_GB2312" w:cs="仿宋_GB2312"/>
                <w:szCs w:val="21"/>
                <w:lang w:eastAsia="zh-CN"/>
              </w:rPr>
              <w:t>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37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仿宋_GB2312" w:hAnsi="仿宋_GB2312" w:eastAsia="仿宋_GB2312" w:cs="仿宋_GB2312"/>
                <w:b w:val="0"/>
                <w:bCs w:val="0"/>
                <w:szCs w:val="21"/>
                <w:lang w:eastAsia="zh-CN"/>
              </w:rPr>
            </w:pPr>
            <w:r>
              <w:rPr>
                <w:rFonts w:hint="eastAsia" w:ascii="仿宋_GB2312" w:hAnsi="仿宋_GB2312" w:eastAsia="仿宋_GB2312" w:cs="仿宋_GB2312"/>
                <w:kern w:val="2"/>
                <w:sz w:val="21"/>
                <w:szCs w:val="21"/>
                <w:lang w:val="en-US" w:eastAsia="zh-CN" w:bidi="ar-SA"/>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89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kern w:val="2"/>
                <w:sz w:val="21"/>
                <w:szCs w:val="21"/>
                <w:lang w:val="en-US" w:eastAsia="zh-CN" w:bidi="ar-SA"/>
              </w:rPr>
            </w:pPr>
            <w:bookmarkStart w:id="64" w:name="_Toc32201"/>
            <w:bookmarkStart w:id="65" w:name="_Toc21148"/>
            <w:r>
              <w:rPr>
                <w:rFonts w:hint="eastAsia" w:ascii="仿宋_GB2312" w:hAnsi="仿宋_GB2312" w:eastAsia="仿宋_GB2312" w:cs="仿宋_GB2312"/>
                <w:kern w:val="2"/>
                <w:sz w:val="21"/>
                <w:szCs w:val="21"/>
                <w:lang w:val="en-US" w:eastAsia="zh-CN" w:bidi="ar-SA"/>
              </w:rPr>
              <w:t>2</w:t>
            </w:r>
          </w:p>
        </w:tc>
        <w:tc>
          <w:tcPr>
            <w:tcW w:w="2082"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威海开心草帽食品有限公司</w:t>
            </w:r>
          </w:p>
        </w:tc>
        <w:tc>
          <w:tcPr>
            <w:tcW w:w="5253" w:type="dxa"/>
            <w:vAlign w:val="center"/>
          </w:tcPr>
          <w:p>
            <w:pPr>
              <w:keepNext w:val="0"/>
              <w:keepLines w:val="0"/>
              <w:widowControl/>
              <w:suppressLineNumbers w:val="0"/>
              <w:ind w:firstLine="420" w:firstLineChars="200"/>
              <w:jc w:val="left"/>
              <w:rPr>
                <w:rFonts w:hint="eastAsia" w:ascii="仿宋_GB2312" w:hAnsi="仿宋_GB2312" w:eastAsia="仿宋_GB2312" w:cs="仿宋_GB2312"/>
                <w:kern w:val="2"/>
                <w:sz w:val="21"/>
                <w:szCs w:val="21"/>
                <w:lang w:val="en-US" w:eastAsia="zh-CN" w:bidi="ar-SA"/>
              </w:rPr>
            </w:pPr>
          </w:p>
          <w:p>
            <w:pPr>
              <w:keepNext w:val="0"/>
              <w:keepLines w:val="0"/>
              <w:widowControl/>
              <w:suppressLineNumbers w:val="0"/>
              <w:ind w:firstLine="420" w:firstLineChars="20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了解企业的组织架构、规章制度、企业文化和安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全生产知识，通过中式面点师、西式面点师、裱花师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、烘焙师等岗位的实践，掌握面点师、烘焙师等岗位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典型工作任务、工作内容及核心技能，巩固所学专业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知识和技能，培养爱岗敬业、精益求精、诚实守信的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职业精神以及热爱劳动、吃苦耐劳的精神，初步形成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符合本专业特点的职业道德意识和行为规范，提高学  </w:t>
            </w:r>
          </w:p>
          <w:p>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生职业能力和综合素养</w:t>
            </w:r>
          </w:p>
          <w:p>
            <w:pPr>
              <w:keepNext w:val="0"/>
              <w:keepLines w:val="0"/>
              <w:pageBreakBefore w:val="0"/>
              <w:widowControl w:val="0"/>
              <w:kinsoku/>
              <w:wordWrap/>
              <w:overflowPunct/>
              <w:topLinePunct w:val="0"/>
              <w:bidi w:val="0"/>
              <w:adjustRightInd w:val="0"/>
              <w:snapToGrid w:val="0"/>
              <w:spacing w:line="240" w:lineRule="auto"/>
              <w:ind w:firstLine="420" w:firstLineChars="200"/>
              <w:jc w:val="left"/>
              <w:textAlignment w:val="auto"/>
              <w:rPr>
                <w:rFonts w:hint="eastAsia" w:ascii="仿宋_GB2312" w:hAnsi="仿宋_GB2312" w:eastAsia="仿宋_GB2312" w:cs="仿宋_GB2312"/>
                <w:kern w:val="2"/>
                <w:sz w:val="21"/>
                <w:szCs w:val="21"/>
                <w:lang w:val="en-US" w:eastAsia="zh-CN" w:bidi="ar-SA"/>
              </w:rPr>
            </w:pPr>
          </w:p>
        </w:tc>
        <w:tc>
          <w:tcPr>
            <w:tcW w:w="137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20人</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1"/>
        <w:rPr>
          <w:rFonts w:hint="eastAsia" w:ascii="楷体" w:hAnsi="楷体" w:eastAsia="楷体" w:cs="楷体"/>
          <w:sz w:val="32"/>
          <w:szCs w:val="32"/>
          <w:lang w:val="en-US" w:eastAsia="zh-CN" w:bidi="ar"/>
        </w:rPr>
      </w:pPr>
      <w:r>
        <w:rPr>
          <w:rFonts w:hint="eastAsia" w:ascii="楷体" w:hAnsi="楷体" w:eastAsia="楷体" w:cs="楷体"/>
          <w:sz w:val="32"/>
          <w:szCs w:val="32"/>
          <w:lang w:val="en-US" w:eastAsia="zh-CN" w:bidi="ar"/>
        </w:rPr>
        <w:t>（三）教学资源</w:t>
      </w:r>
      <w:bookmarkEnd w:id="64"/>
      <w:bookmarkEnd w:id="65"/>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主要包括能满足学生专业学习、教师专业教学研究和教学实施需要的教材、图书和数字资源等。</w:t>
      </w:r>
    </w:p>
    <w:p>
      <w:pPr>
        <w:keepNext w:val="0"/>
        <w:keepLines w:val="0"/>
        <w:pageBreakBefore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66" w:name="_Toc65"/>
      <w:r>
        <w:rPr>
          <w:rFonts w:hint="eastAsia" w:ascii="仿宋_GB2312" w:hAnsi="仿宋_GB2312" w:eastAsia="仿宋_GB2312" w:cs="仿宋_GB2312"/>
          <w:sz w:val="32"/>
          <w:szCs w:val="32"/>
          <w:lang w:val="en-US" w:eastAsia="zh-CN"/>
        </w:rPr>
        <w:t>1.教材选用要求</w:t>
      </w:r>
      <w:bookmarkEnd w:id="66"/>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keepNext w:val="0"/>
        <w:keepLines w:val="0"/>
        <w:pageBreakBefore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67" w:name="_Toc26856"/>
      <w:r>
        <w:rPr>
          <w:rFonts w:hint="eastAsia" w:ascii="仿宋_GB2312" w:hAnsi="仿宋_GB2312" w:eastAsia="仿宋_GB2312" w:cs="仿宋_GB2312"/>
          <w:sz w:val="32"/>
          <w:szCs w:val="32"/>
          <w:lang w:val="en-US" w:eastAsia="zh-CN"/>
        </w:rPr>
        <w:t>2.图书资料配备要求</w:t>
      </w:r>
      <w:bookmarkEnd w:id="67"/>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本专业相关图书文献配备应能满足人才培养、专业建设、教科研等工作需要，方便师生查询、借阅，且定期更新。主要包括有关《</w:t>
      </w:r>
      <w:r>
        <w:rPr>
          <w:rFonts w:hint="default" w:ascii="仿宋_GB2312" w:hAnsi="仿宋_GB2312" w:eastAsia="仿宋_GB2312" w:cs="仿宋_GB2312"/>
          <w:sz w:val="32"/>
          <w:szCs w:val="32"/>
          <w:lang w:val="en-US" w:eastAsia="zh-CN"/>
        </w:rPr>
        <w:t>黄金配方烘焙术</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烘焙新手第一本书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法国糕点大全</w:t>
      </w:r>
      <w:r>
        <w:rPr>
          <w:rFonts w:hint="eastAsia" w:ascii="仿宋_GB2312" w:hAnsi="仿宋_GB2312" w:eastAsia="仿宋_GB2312" w:cs="仿宋_GB2312"/>
          <w:sz w:val="32"/>
          <w:szCs w:val="32"/>
          <w:lang w:val="en-US" w:eastAsia="zh-CN"/>
        </w:rPr>
        <w:t>》等技术类和案例类图书，以及《</w:t>
      </w:r>
      <w:r>
        <w:rPr>
          <w:rFonts w:hint="default" w:ascii="仿宋_GB2312" w:hAnsi="仿宋_GB2312" w:eastAsia="仿宋_GB2312" w:cs="仿宋_GB2312"/>
          <w:sz w:val="32"/>
          <w:szCs w:val="32"/>
          <w:lang w:val="en-US" w:eastAsia="zh-CN"/>
        </w:rPr>
        <w:t>中华烘焙</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面点视界</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美食研究</w:t>
      </w:r>
      <w:r>
        <w:rPr>
          <w:rFonts w:hint="eastAsia" w:ascii="仿宋_GB2312" w:hAnsi="仿宋_GB2312" w:eastAsia="仿宋_GB2312" w:cs="仿宋_GB2312"/>
          <w:sz w:val="32"/>
          <w:szCs w:val="32"/>
          <w:lang w:val="en-US" w:eastAsia="zh-CN"/>
        </w:rPr>
        <w:t>》等专业学术期刊。</w:t>
      </w:r>
    </w:p>
    <w:p>
      <w:pPr>
        <w:keepNext w:val="0"/>
        <w:keepLines w:val="0"/>
        <w:pageBreakBefore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68" w:name="_Toc30941"/>
      <w:r>
        <w:rPr>
          <w:rFonts w:hint="eastAsia" w:ascii="仿宋_GB2312" w:hAnsi="仿宋_GB2312" w:eastAsia="仿宋_GB2312" w:cs="仿宋_GB2312"/>
          <w:sz w:val="32"/>
          <w:szCs w:val="32"/>
          <w:lang w:val="en-US" w:eastAsia="zh-CN"/>
        </w:rPr>
        <w:t>3.数字资源配置要求</w:t>
      </w:r>
      <w:bookmarkEnd w:id="68"/>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对接“1+x”职业技能等级证书标准，明确考核内容和形式，优化课程设置和教学内容，开发相应的校本培训教材，形成种类丰富、形成多样、使用便捷、动态更新、满足教学得的数字化资源库。</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69" w:name="_Toc20278"/>
      <w:bookmarkStart w:id="70" w:name="_Toc5571"/>
      <w:r>
        <w:rPr>
          <w:rFonts w:hint="eastAsia" w:ascii="楷体" w:hAnsi="楷体" w:eastAsia="楷体" w:cs="楷体"/>
          <w:sz w:val="32"/>
          <w:szCs w:val="32"/>
          <w:lang w:val="en-US" w:eastAsia="zh-CN" w:bidi="ar"/>
        </w:rPr>
        <w:t>（四）教学方法</w:t>
      </w:r>
      <w:bookmarkEnd w:id="69"/>
      <w:bookmarkEnd w:id="70"/>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坚持立德树人根本任务，在教学过程中，注重思政课程和课程思政相结合，达到人才培养规格的素质要求。</w:t>
      </w:r>
    </w:p>
    <w:p>
      <w:pPr>
        <w:keepNext w:val="0"/>
        <w:keepLines w:val="0"/>
        <w:pageBreakBefore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71" w:name="_Toc19892"/>
      <w:r>
        <w:rPr>
          <w:rFonts w:hint="eastAsia" w:ascii="仿宋_GB2312" w:hAnsi="仿宋_GB2312" w:eastAsia="仿宋_GB2312" w:cs="仿宋_GB2312"/>
          <w:sz w:val="32"/>
          <w:szCs w:val="32"/>
          <w:lang w:val="en-US" w:eastAsia="zh-CN"/>
        </w:rPr>
        <w:t>1.公共基础课</w:t>
      </w:r>
      <w:bookmarkEnd w:id="71"/>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keepNext w:val="0"/>
        <w:keepLines w:val="0"/>
        <w:pageBreakBefore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lang w:val="en-US" w:eastAsia="zh-CN"/>
        </w:rPr>
      </w:pPr>
      <w:bookmarkStart w:id="72" w:name="_Toc20747"/>
      <w:r>
        <w:rPr>
          <w:rFonts w:hint="eastAsia" w:ascii="仿宋_GB2312" w:hAnsi="仿宋_GB2312" w:eastAsia="仿宋_GB2312" w:cs="仿宋_GB2312"/>
          <w:sz w:val="32"/>
          <w:szCs w:val="32"/>
          <w:lang w:val="en-US" w:eastAsia="zh-CN"/>
        </w:rPr>
        <w:t>2.专业（技能）课</w:t>
      </w:r>
      <w:bookmarkEnd w:id="72"/>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习效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73" w:name="_Toc2873"/>
      <w:bookmarkStart w:id="74" w:name="_Toc66"/>
      <w:r>
        <w:rPr>
          <w:rFonts w:hint="eastAsia" w:ascii="楷体" w:hAnsi="楷体" w:eastAsia="楷体" w:cs="楷体"/>
          <w:sz w:val="32"/>
          <w:szCs w:val="32"/>
          <w:lang w:val="en-US" w:eastAsia="zh-CN" w:bidi="ar"/>
        </w:rPr>
        <w:t>（五）学习评价</w:t>
      </w:r>
      <w:bookmarkEnd w:id="73"/>
      <w:bookmarkEnd w:id="74"/>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75" w:name="_Toc12701"/>
      <w:bookmarkStart w:id="76" w:name="_Toc26076"/>
      <w:r>
        <w:rPr>
          <w:rFonts w:hint="eastAsia" w:ascii="楷体" w:hAnsi="楷体" w:eastAsia="楷体" w:cs="楷体"/>
          <w:sz w:val="32"/>
          <w:szCs w:val="32"/>
          <w:lang w:val="en-US" w:eastAsia="zh-CN" w:bidi="ar"/>
        </w:rPr>
        <w:t>（六）质量管理</w:t>
      </w:r>
      <w:bookmarkEnd w:id="75"/>
      <w:bookmarkEnd w:id="76"/>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专业教研组织应充分利用评价分析结果有效改进专业教学，持续提高人才培养质量。</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kinsoku/>
        <w:wordWrap/>
        <w:overflowPunct/>
        <w:topLinePunct w:val="0"/>
        <w:autoSpaceDE w:val="0"/>
        <w:autoSpaceDN w:val="0"/>
        <w:bidi w:val="0"/>
        <w:adjustRightInd w:val="0"/>
        <w:spacing w:line="400" w:lineRule="exact"/>
        <w:ind w:left="0" w:leftChars="0" w:firstLine="640" w:firstLineChars="200"/>
        <w:outlineLvl w:val="0"/>
        <w:rPr>
          <w:rFonts w:hint="eastAsia" w:ascii="黑体" w:hAnsi="黑体" w:eastAsia="黑体" w:cs="黑体"/>
          <w:kern w:val="2"/>
          <w:sz w:val="32"/>
          <w:szCs w:val="32"/>
          <w:lang w:val="en-US" w:eastAsia="zh-CN" w:bidi="ar-SA"/>
        </w:rPr>
      </w:pPr>
      <w:bookmarkStart w:id="77" w:name="_Toc11594"/>
      <w:bookmarkStart w:id="78" w:name="_Toc15999"/>
      <w:r>
        <w:rPr>
          <w:rFonts w:hint="eastAsia" w:ascii="黑体" w:hAnsi="黑体" w:eastAsia="黑体" w:cs="黑体"/>
          <w:kern w:val="2"/>
          <w:sz w:val="32"/>
          <w:szCs w:val="32"/>
          <w:lang w:val="en-US" w:eastAsia="zh-CN" w:bidi="ar-SA"/>
        </w:rPr>
        <w:t>十一、毕业要求</w:t>
      </w:r>
      <w:bookmarkEnd w:id="77"/>
      <w:bookmarkEnd w:id="78"/>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bidi="ar"/>
        </w:rPr>
        <w:t>（一）思想品德。</w:t>
      </w:r>
      <w:r>
        <w:rPr>
          <w:rFonts w:hint="eastAsia" w:ascii="仿宋_GB2312" w:hAnsi="仿宋_GB2312" w:eastAsia="仿宋_GB2312" w:cs="仿宋_GB2312"/>
          <w:sz w:val="32"/>
          <w:szCs w:val="32"/>
          <w:lang w:val="en-US" w:eastAsia="zh-CN"/>
        </w:rPr>
        <w:t>在校学习期间（含校外岗位实习期间）无违法或严重违纪行为，思想品德评定合格。</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bidi="ar"/>
        </w:rPr>
        <w:t>（二）学业成绩。</w:t>
      </w:r>
      <w:r>
        <w:rPr>
          <w:rFonts w:hint="eastAsia" w:ascii="仿宋_GB2312" w:hAnsi="仿宋_GB2312" w:eastAsia="仿宋_GB2312" w:cs="仿宋_GB2312"/>
          <w:sz w:val="32"/>
          <w:szCs w:val="32"/>
          <w:lang w:val="en-US" w:eastAsia="zh-CN"/>
        </w:rPr>
        <w:t>在校期间，修完专业人才培养方案规定的所有课程，经考试或考查合格。</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bidi="ar"/>
        </w:rPr>
        <w:t>（三）实习合格。</w:t>
      </w:r>
      <w:r>
        <w:rPr>
          <w:rFonts w:hint="eastAsia" w:ascii="仿宋_GB2312" w:hAnsi="仿宋_GB2312" w:eastAsia="仿宋_GB2312" w:cs="仿宋_GB2312"/>
          <w:sz w:val="32"/>
          <w:szCs w:val="32"/>
          <w:lang w:val="en-US" w:eastAsia="zh-CN"/>
        </w:rPr>
        <w:t>岗位实习期满，经学校、企业共同鉴定，实习成绩合格。</w:t>
      </w:r>
    </w:p>
    <w:p>
      <w:pPr>
        <w:keepNext w:val="0"/>
        <w:keepLines w:val="0"/>
        <w:pageBreakBefore w:val="0"/>
        <w:widowControl/>
        <w:numPr>
          <w:ilvl w:val="0"/>
          <w:numId w:val="1"/>
        </w:numPr>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附录</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1.岗课赛证与职业能力分析表</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2.教学进程变更申请表</w:t>
      </w:r>
    </w:p>
    <w:p>
      <w:pPr>
        <w:keepNext w:val="0"/>
        <w:keepLines w:val="0"/>
        <w:pageBreakBefore w:val="0"/>
        <w:widowControl/>
        <w:numPr>
          <w:ilvl w:val="0"/>
          <w:numId w:val="0"/>
        </w:numPr>
        <w:kinsoku/>
        <w:wordWrap/>
        <w:overflowPunct/>
        <w:topLinePunct w:val="0"/>
        <w:autoSpaceDE w:val="0"/>
        <w:autoSpaceDN/>
        <w:bidi w:val="0"/>
        <w:adjustRightInd w:val="0"/>
        <w:snapToGrid w:val="0"/>
        <w:spacing w:line="580" w:lineRule="exact"/>
        <w:jc w:val="left"/>
        <w:textAlignment w:val="baseline"/>
        <w:outlineLvl w:val="1"/>
        <w:rPr>
          <w:rFonts w:hint="eastAsia" w:ascii="黑体" w:hAnsi="黑体" w:eastAsia="黑体" w:cs="黑体"/>
          <w:sz w:val="32"/>
          <w:szCs w:val="32"/>
          <w:lang w:val="en-US" w:eastAsia="zh-CN"/>
        </w:rPr>
        <w:sectPr>
          <w:footerReference r:id="rId7" w:type="default"/>
          <w:pgSz w:w="11906" w:h="16839"/>
          <w:pgMar w:top="1431" w:right="1446" w:bottom="1784" w:left="1537" w:header="0" w:footer="1531" w:gutter="0"/>
          <w:pgNumType w:fmt="decimal"/>
          <w:cols w:space="720" w:num="1"/>
        </w:sectPr>
      </w:pPr>
    </w:p>
    <w:p>
      <w:pPr>
        <w:adjustRightInd w:val="0"/>
        <w:snapToGrid w:val="0"/>
        <w:spacing w:line="580" w:lineRule="exac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附</w:t>
      </w:r>
      <w:r>
        <w:rPr>
          <w:rFonts w:hint="eastAsia" w:ascii="仿宋_GB2312" w:hAnsi="仿宋_GB2312" w:eastAsia="仿宋_GB2312" w:cs="仿宋_GB2312"/>
          <w:kern w:val="0"/>
          <w:sz w:val="32"/>
          <w:szCs w:val="32"/>
          <w:lang w:val="en-US" w:eastAsia="zh-CN"/>
        </w:rPr>
        <w:t>录1：</w:t>
      </w:r>
    </w:p>
    <w:p>
      <w:pPr>
        <w:adjustRightInd w:val="0"/>
        <w:snapToGrid w:val="0"/>
        <w:spacing w:line="580" w:lineRule="exact"/>
        <w:ind w:firstLine="4200" w:firstLineChars="1400"/>
        <w:jc w:val="both"/>
        <w:rPr>
          <w:rFonts w:hint="eastAsia" w:ascii="黑体" w:hAnsi="黑体" w:eastAsia="黑体" w:cs="黑体"/>
          <w:kern w:val="0"/>
          <w:sz w:val="30"/>
          <w:szCs w:val="30"/>
        </w:rPr>
      </w:pPr>
      <w:r>
        <w:rPr>
          <w:rFonts w:hint="eastAsia" w:ascii="黑体" w:hAnsi="黑体" w:eastAsia="黑体" w:cs="黑体"/>
          <w:kern w:val="0"/>
          <w:sz w:val="30"/>
          <w:szCs w:val="30"/>
        </w:rPr>
        <w:t>中西面点专业</w:t>
      </w:r>
      <w:r>
        <w:rPr>
          <w:rFonts w:hint="eastAsia" w:ascii="黑体" w:hAnsi="黑体" w:eastAsia="黑体" w:cs="黑体"/>
          <w:kern w:val="0"/>
          <w:sz w:val="30"/>
          <w:szCs w:val="30"/>
          <w:lang w:val="en-US" w:eastAsia="zh-CN"/>
        </w:rPr>
        <w:t>岗课赛证与</w:t>
      </w:r>
      <w:r>
        <w:rPr>
          <w:rFonts w:hint="eastAsia" w:ascii="黑体" w:hAnsi="黑体" w:eastAsia="黑体" w:cs="黑体"/>
          <w:kern w:val="0"/>
          <w:sz w:val="30"/>
          <w:szCs w:val="30"/>
        </w:rPr>
        <w:t>职业能力分析</w:t>
      </w:r>
      <w:r>
        <w:rPr>
          <w:rFonts w:hint="eastAsia" w:ascii="黑体" w:hAnsi="黑体" w:eastAsia="黑体" w:cs="黑体"/>
          <w:kern w:val="0"/>
          <w:sz w:val="30"/>
          <w:szCs w:val="30"/>
          <w:lang w:val="en-US" w:eastAsia="zh-CN"/>
        </w:rPr>
        <w:t>表</w:t>
      </w:r>
    </w:p>
    <w:tbl>
      <w:tblPr>
        <w:tblStyle w:val="16"/>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2301"/>
        <w:gridCol w:w="3497"/>
        <w:gridCol w:w="3224"/>
        <w:gridCol w:w="224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6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职业岗位</w:t>
            </w:r>
          </w:p>
        </w:tc>
        <w:tc>
          <w:tcPr>
            <w:tcW w:w="82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典型工作任务</w:t>
            </w:r>
          </w:p>
        </w:tc>
        <w:tc>
          <w:tcPr>
            <w:tcW w:w="1246"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职业能力要求</w:t>
            </w:r>
          </w:p>
        </w:tc>
        <w:tc>
          <w:tcPr>
            <w:tcW w:w="1149"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职业资格标准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（职业技能等级标准）</w:t>
            </w:r>
          </w:p>
        </w:tc>
        <w:tc>
          <w:tcPr>
            <w:tcW w:w="80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422"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56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面包师岗位</w:t>
            </w:r>
          </w:p>
        </w:tc>
        <w:tc>
          <w:tcPr>
            <w:tcW w:w="82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1.制作面包原料的鉴别与选用;</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2，制作面包原料的加工处理;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3.搅拌面团;</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4.面包成型;</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5.面包醒发、装饰、烘烤;</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6.原料及成品的保管;</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7.烘焙器具设备的保养</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8.生产车间日常卫生工作。</w:t>
            </w:r>
          </w:p>
        </w:tc>
        <w:tc>
          <w:tcPr>
            <w:tcW w:w="1246"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1.能掌握常见制作面包原料的鉴别知识与方法，并能正确选用;</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2.能完成制作面包原料的初加工及处理工作，奶油酱和黄油酱的调制,根据具体面包产品配制、搅拌不同面团，并符合质量标准;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3.能熟练制作常见面包形态成型手法，准确判断面包醒发、烘烤等熟制工作，并符合质量标准;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4.能独立完成面包师岗位的基础工作，有较好的岗位责任意识和工作适应能力。</w:t>
            </w:r>
          </w:p>
        </w:tc>
        <w:tc>
          <w:tcPr>
            <w:tcW w:w="1149" w:type="pct"/>
            <w:vMerge w:val="restart"/>
            <w:tcBorders>
              <w:top w:val="single" w:color="auto" w:sz="4" w:space="0"/>
              <w:left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1.能清理干净工作台、地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面、带手布；</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2.能保持工作服、围裙、</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帽子等干净整齐；</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3.能用挑选、去皮、过筛、溶化等方法初步加工原</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料；</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4.能用调、拌、搅打等方法调制奶油酱和黄油酱能按正确的原料配比；</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5.运用正确的操作方法调制混酥面团、饼干面团、果冻、发酵面团等；</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6.能借助工具、模具，用、切、印模、灌模涂抹等成型方法成型；</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7.能用搓、卷、包等方法使发酵面团成型；</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8.能将混酥、清蛋糕烤熟</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能使果冻定型，并达到形态完整、质地细；</w:t>
            </w:r>
          </w:p>
          <w:p>
            <w:pPr>
              <w:pStyle w:val="33"/>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能将发酵面团烤熟；</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10.能将制品摆放整齐；</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11.能将成品摆几何图形。</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p>
        </w:tc>
        <w:tc>
          <w:tcPr>
            <w:tcW w:w="800" w:type="pct"/>
            <w:vMerge w:val="restart"/>
            <w:tcBorders>
              <w:top w:val="single" w:color="auto" w:sz="4" w:space="0"/>
              <w:left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(1)根据竞赛要求对生料进行处理，并制定竞赛计划。主要考量选手的操作习惯；</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(2)制品创意协调、富有想象力，色彩构成鲜明合理，整体效果协调时尚；</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(3)作品使用不同工艺，展现不同技巧，具有独特创意，作品外观高雅，造型新颖，基本概念清晰，味道和时尚感要和谐。</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(4)采用高水准、多样化，装饰技术高超，主要体现在质感、形状和口味上。</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(5)创意装饰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考验选手装饰技能，使用组委会指定原料进行创意制作，风格协调，对感官要求高。</w:t>
            </w:r>
          </w:p>
        </w:tc>
        <w:tc>
          <w:tcPr>
            <w:tcW w:w="422"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面包课堂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6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蛋糕师岗位</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裱花师岗位</w:t>
            </w:r>
          </w:p>
        </w:tc>
        <w:tc>
          <w:tcPr>
            <w:tcW w:w="82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1.制作蛋糕原料的鉴别与选用;</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2.制作蛋糕原料的加工处理;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3.蛋泡糊搅拌、面糊搅拌;</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4.入模刮平成型，烘烤;</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5.蛋糕体装饰;</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6.原料及成品的保管;</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7.西点器具设备的保养</w:t>
            </w:r>
          </w:p>
        </w:tc>
        <w:tc>
          <w:tcPr>
            <w:tcW w:w="1246"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1.能掌握常见制作蛋糕原料的鉴别知识与方法，完成制作蛋糕原料的初加工及处理工作,符合质量标准；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2.能完成油脂蛋糕类、戚风蛋糕类.海绵蛋糕类、乳酪蛋糕类、慕斯蛋糕类 等不同种类蛋糕原料配制、蛋糊搅拌、烘烤等工艺，并符合质量标准;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3.能对蛋糕胚体进行装饰加工，能根据主题设计制作主题蛋糕，并进行装饰制作;</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4.能独立完成蛋糕师岗、裱花师岗的日常基础工作，有较好的岗位责任意识和工作适应能力。</w:t>
            </w:r>
          </w:p>
        </w:tc>
        <w:tc>
          <w:tcPr>
            <w:tcW w:w="1149" w:type="pct"/>
            <w:vMerge w:val="continue"/>
            <w:tcBorders>
              <w:left w:val="single" w:color="auto" w:sz="4" w:space="0"/>
              <w:right w:val="single" w:color="auto" w:sz="4" w:space="0"/>
            </w:tcBorders>
            <w:vAlign w:val="center"/>
          </w:tcPr>
          <w:p>
            <w:pPr>
              <w:pStyle w:val="33"/>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kern w:val="0"/>
              </w:rPr>
            </w:pPr>
          </w:p>
        </w:tc>
        <w:tc>
          <w:tcPr>
            <w:tcW w:w="800" w:type="pct"/>
            <w:vMerge w:val="continue"/>
            <w:tcBorders>
              <w:left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蛋糕装饰与裱花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6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西饼（糕点)</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制作师岗位</w:t>
            </w:r>
          </w:p>
        </w:tc>
        <w:tc>
          <w:tcPr>
            <w:tcW w:w="820"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1.制作西饼原料的鉴别与选用</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2.制作西饼原料的加工处理;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3.面团调制,起酥面胚择制;</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4.西饼成型，烘烤制作;</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5.西点器具设备的保养:6.生产车间日常卫生工作。</w:t>
            </w:r>
          </w:p>
        </w:tc>
        <w:tc>
          <w:tcPr>
            <w:tcW w:w="1246"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1.能掌握常见制作西式甜点和西饼原料的鉴别知识与方法，完成制作西式甜点和西饼原料的初加工及处理工作，产品保存，符合质量标准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2.能完成混酥类西饼和起酥类西饼面胚搅拌、成型、烘烤等制作工艺能完成西式甜点搅拌、烘烤、冷冻装饰工艺，并符合质量标准</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3.能对部分甜点进行加工调整，设计制作创新甜点产品;</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4.能独立完成西式点心师岗的基础工作，有较好的岗位责任意识和工作适应能力。</w:t>
            </w:r>
          </w:p>
        </w:tc>
        <w:tc>
          <w:tcPr>
            <w:tcW w:w="1149" w:type="pct"/>
            <w:vMerge w:val="continue"/>
            <w:tcBorders>
              <w:left w:val="single" w:color="auto" w:sz="4" w:space="0"/>
              <w:bottom w:val="single" w:color="auto" w:sz="4" w:space="0"/>
              <w:right w:val="single" w:color="auto" w:sz="4" w:space="0"/>
            </w:tcBorders>
            <w:vAlign w:val="center"/>
          </w:tcPr>
          <w:p>
            <w:pPr>
              <w:pStyle w:val="33"/>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仿宋_GB2312" w:hAnsi="仿宋_GB2312" w:eastAsia="仿宋_GB2312" w:cs="仿宋_GB2312"/>
                <w:kern w:val="0"/>
              </w:rPr>
            </w:pPr>
          </w:p>
        </w:tc>
        <w:tc>
          <w:tcPr>
            <w:tcW w:w="800" w:type="pct"/>
            <w:vMerge w:val="continue"/>
            <w:tcBorders>
              <w:left w:val="single" w:color="auto" w:sz="4" w:space="0"/>
              <w:bottom w:val="single" w:color="auto" w:sz="4" w:space="0"/>
              <w:right w:val="single" w:color="auto" w:sz="4" w:space="0"/>
            </w:tcBorders>
            <w:vAlign w:val="center"/>
          </w:tcPr>
          <w:p>
            <w:pPr>
              <w:pStyle w:val="33"/>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仿宋_GB2312" w:hAnsi="仿宋_GB2312" w:eastAsia="仿宋_GB2312" w:cs="仿宋_GB2312"/>
                <w:kern w:val="0"/>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lang w:eastAsia="zh-CN"/>
              </w:rPr>
            </w:pPr>
            <w:r>
              <w:rPr>
                <w:rFonts w:hint="eastAsia" w:ascii="仿宋_GB2312" w:hAnsi="仿宋_GB2312" w:eastAsia="仿宋_GB2312" w:cs="仿宋_GB2312"/>
                <w:kern w:val="0"/>
                <w:lang w:eastAsia="zh-CN"/>
              </w:rPr>
              <w:t>西式面点制作</w:t>
            </w:r>
          </w:p>
        </w:tc>
      </w:tr>
    </w:tbl>
    <w:p>
      <w:pPr>
        <w:adjustRightInd w:val="0"/>
        <w:snapToGrid w:val="0"/>
        <w:spacing w:line="580" w:lineRule="exact"/>
        <w:jc w:val="center"/>
        <w:rPr>
          <w:rFonts w:ascii="仿宋" w:hAnsi="仿宋" w:eastAsia="仿宋" w:cs="方正小标宋_GBK"/>
          <w:kern w:val="0"/>
          <w:sz w:val="36"/>
          <w:szCs w:val="36"/>
        </w:rPr>
      </w:pPr>
    </w:p>
    <w:p>
      <w:pPr>
        <w:adjustRightInd w:val="0"/>
        <w:snapToGrid w:val="0"/>
        <w:spacing w:line="580" w:lineRule="exact"/>
        <w:rPr>
          <w:rFonts w:hint="eastAsia" w:ascii="仿宋_GB2312" w:hAnsi="仿宋_GB2312" w:eastAsia="仿宋_GB2312" w:cs="仿宋_GB2312"/>
          <w:kern w:val="0"/>
          <w:sz w:val="32"/>
          <w:szCs w:val="32"/>
        </w:rPr>
        <w:sectPr>
          <w:pgSz w:w="16839" w:h="11906" w:orient="landscape"/>
          <w:pgMar w:top="1537" w:right="1431" w:bottom="1446" w:left="1784" w:header="0" w:footer="1531" w:gutter="0"/>
          <w:pgNumType w:fmt="decimal"/>
          <w:cols w:space="720" w:num="1"/>
        </w:sectPr>
      </w:pPr>
    </w:p>
    <w:p>
      <w:pPr>
        <w:autoSpaceDE w:val="0"/>
        <w:autoSpaceDN w:val="0"/>
        <w:adjustRightIn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w:t>
      </w:r>
      <w:r>
        <w:rPr>
          <w:rFonts w:hint="eastAsia" w:ascii="仿宋_GB2312" w:hAnsi="仿宋_GB2312" w:eastAsia="仿宋_GB2312" w:cs="仿宋_GB2312"/>
          <w:sz w:val="32"/>
          <w:szCs w:val="32"/>
        </w:rPr>
        <w:t xml:space="preserve">2：    </w:t>
      </w:r>
    </w:p>
    <w:p>
      <w:pPr>
        <w:autoSpaceDE w:val="0"/>
        <w:autoSpaceDN w:val="0"/>
        <w:adjustRightInd w:val="0"/>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hint="eastAsia" w:ascii="宋体" w:hAnsi="宋体" w:cs="宋体"/>
          <w:sz w:val="24"/>
        </w:rPr>
      </w:pPr>
      <w:r>
        <w:rPr>
          <w:rFonts w:hint="eastAsia" w:ascii="宋体" w:hAnsi="宋体" w:cs="宋体"/>
          <w:sz w:val="24"/>
        </w:rPr>
        <w:t>备注：本表一式三份，教务处、教学部和授课教师各存一份。</w:t>
      </w:r>
    </w:p>
    <w:p>
      <w:pPr>
        <w:tabs>
          <w:tab w:val="left" w:pos="1604"/>
        </w:tabs>
        <w:spacing w:before="126" w:line="222" w:lineRule="auto"/>
        <w:jc w:val="both"/>
        <w:rPr>
          <w:rFonts w:hint="eastAsia" w:ascii="Arial Unicode MS" w:hAnsi="Arial Unicode MS" w:eastAsia="Arial Unicode MS" w:cs="Arial Unicode MS"/>
          <w:color w:val="auto"/>
          <w:sz w:val="32"/>
          <w:szCs w:val="32"/>
          <w:lang w:val="en-US" w:eastAsia="zh-CN"/>
        </w:rPr>
      </w:pPr>
    </w:p>
    <w:p>
      <w:pPr>
        <w:numPr>
          <w:ilvl w:val="0"/>
          <w:numId w:val="0"/>
        </w:numPr>
        <w:snapToGrid w:val="0"/>
        <w:spacing w:before="120" w:beforeLines="50" w:after="120" w:afterLines="50" w:line="580" w:lineRule="exact"/>
        <w:jc w:val="both"/>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十三、课程标准</w:t>
      </w:r>
    </w:p>
    <w:p>
      <w:pPr>
        <w:numPr>
          <w:ilvl w:val="0"/>
          <w:numId w:val="0"/>
        </w:numPr>
        <w:snapToGrid w:val="0"/>
        <w:spacing w:before="120" w:beforeLines="50" w:after="120" w:afterLines="50" w:line="580" w:lineRule="exact"/>
        <w:ind w:firstLine="2160" w:firstLineChars="600"/>
        <w:jc w:val="both"/>
        <w:rPr>
          <w:rFonts w:hint="default"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《中西面点原料知识》课程标准</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79" w:name="_Toc24625"/>
      <w:bookmarkStart w:id="80" w:name="_Toc19083"/>
      <w:bookmarkStart w:id="81" w:name="_Toc7846"/>
      <w:r>
        <w:rPr>
          <w:rFonts w:hint="eastAsia" w:ascii="楷体" w:hAnsi="楷体" w:eastAsia="楷体" w:cs="楷体"/>
          <w:sz w:val="32"/>
          <w:szCs w:val="32"/>
          <w:lang w:val="en-US" w:eastAsia="zh-CN" w:bidi="ar"/>
        </w:rPr>
        <w:t>（一）课程性质与任务</w:t>
      </w:r>
      <w:bookmarkEnd w:id="79"/>
      <w:bookmarkEnd w:id="80"/>
      <w:bookmarkEnd w:id="81"/>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中西面点专业的一门专业基础课程。通过学习常用中西面点原料的名称、产地、产季及营养特点以及中西面点原料的品质、特点和新原料的性质及运用；掌握常用烹饪原料的品质鉴别方法、保存方法和烹饪应用，使学生能够掌握中西面点原料的加工方法，养成食品安全环保及节约意识；并能根据原料特性改良和创新开发产品的能力，为专业核心课程的学习打下坚实基础。并对学生职业规范、职业素养及双创能力的培养起到重要的支撑作用。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80" w:lineRule="exact"/>
        <w:ind w:firstLine="640" w:firstLineChars="200"/>
        <w:jc w:val="left"/>
        <w:textAlignment w:val="baseline"/>
        <w:outlineLvl w:val="1"/>
        <w:rPr>
          <w:rFonts w:hint="eastAsia" w:ascii="楷体" w:hAnsi="楷体" w:eastAsia="楷体" w:cs="楷体"/>
          <w:sz w:val="32"/>
          <w:szCs w:val="32"/>
          <w:lang w:val="en-US" w:eastAsia="zh-CN" w:bidi="ar"/>
        </w:rPr>
      </w:pPr>
      <w:bookmarkStart w:id="82" w:name="_Toc25980"/>
      <w:bookmarkStart w:id="83" w:name="_Toc18989"/>
      <w:bookmarkStart w:id="84" w:name="_Toc31708"/>
      <w:r>
        <w:rPr>
          <w:rFonts w:hint="eastAsia" w:ascii="楷体" w:hAnsi="楷体" w:eastAsia="楷体" w:cs="楷体"/>
          <w:sz w:val="32"/>
          <w:szCs w:val="32"/>
          <w:lang w:val="en-US" w:eastAsia="zh-CN" w:bidi="ar"/>
        </w:rPr>
        <w:t>（二）课程教学目标</w:t>
      </w:r>
      <w:bookmarkEnd w:id="82"/>
      <w:bookmarkEnd w:id="83"/>
      <w:bookmarkEnd w:id="84"/>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（1）了解常用中西面点原料的分类；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（2）熟悉中西面点原料的产地、产季、品质特点；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ascii="仿宋" w:hAnsi="仿宋" w:eastAsia="仿宋" w:cs="仿宋"/>
          <w:sz w:val="28"/>
          <w:szCs w:val="28"/>
        </w:rPr>
      </w:pPr>
      <w:r>
        <w:rPr>
          <w:rFonts w:hint="eastAsia" w:ascii="仿宋_GB2312" w:hAnsi="仿宋_GB2312" w:eastAsia="仿宋_GB2312" w:cs="仿宋_GB2312"/>
          <w:snapToGrid/>
          <w:color w:val="auto"/>
          <w:kern w:val="2"/>
          <w:sz w:val="32"/>
          <w:szCs w:val="32"/>
          <w:lang w:val="en-US" w:eastAsia="zh-CN" w:bidi="ar"/>
        </w:rPr>
        <w:t>（3）掌握常见原料的鉴别方法及原料合理贮藏的方法。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（4）掌握原料的使用方法；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（5）掌握原料的替代。</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（1）具备原料选取、鉴别、初步处理的能力；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（2）具备分析影响中西面点原料品质变化因素的能力；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（3）具备运用一定的方法对中西面点原料进行品质鉴别和处理的能力；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（4）具备根据中西面点原料的结构及性质，在中西面点制作中合理应用原料的能力；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（5）具备对由原材料至成品的生产过程进行全方位管理的能力；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（7）能够从案例中寻找共性举一反三，不断养成岗位要求需要的职业素养能力。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sectPr>
          <w:pgSz w:w="11906" w:h="16839"/>
          <w:pgMar w:top="1431" w:right="1446" w:bottom="1784" w:left="1537" w:header="0" w:footer="1531" w:gutter="0"/>
          <w:pgNumType w:fmt="decimal"/>
          <w:cols w:space="720" w:num="1"/>
        </w:sect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bookmarkStart w:id="85" w:name="_Toc21370"/>
      <w:bookmarkStart w:id="86" w:name="_Toc10475"/>
      <w:bookmarkStart w:id="87" w:name="_Toc57"/>
      <w:r>
        <w:rPr>
          <w:rFonts w:hint="eastAsia" w:ascii="楷体" w:hAnsi="楷体" w:eastAsia="楷体" w:cs="楷体"/>
          <w:snapToGrid/>
          <w:color w:val="auto"/>
          <w:kern w:val="2"/>
          <w:sz w:val="32"/>
          <w:szCs w:val="32"/>
          <w:lang w:val="en-US" w:eastAsia="zh-CN" w:bidi="ar"/>
        </w:rPr>
        <w:t>（三）参考学时</w:t>
      </w:r>
      <w:bookmarkEnd w:id="85"/>
      <w:bookmarkEnd w:id="86"/>
      <w:bookmarkEnd w:id="8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960" w:firstLineChars="300"/>
        <w:jc w:val="both"/>
        <w:textAlignment w:val="baseline"/>
        <w:outlineLvl w:val="2"/>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bookmarkStart w:id="88" w:name="_Toc22677"/>
      <w:bookmarkStart w:id="89" w:name="_Toc18347"/>
      <w:bookmarkStart w:id="90" w:name="_Toc7389"/>
      <w:r>
        <w:rPr>
          <w:rFonts w:hint="eastAsia" w:ascii="楷体" w:hAnsi="楷体" w:eastAsia="楷体" w:cs="楷体"/>
          <w:snapToGrid/>
          <w:color w:val="auto"/>
          <w:kern w:val="2"/>
          <w:sz w:val="32"/>
          <w:szCs w:val="32"/>
          <w:lang w:val="en-US" w:eastAsia="zh-CN" w:bidi="ar"/>
        </w:rPr>
        <w:t>（四） 课程学分</w:t>
      </w:r>
      <w:bookmarkEnd w:id="88"/>
      <w:bookmarkEnd w:id="89"/>
      <w:bookmarkEnd w:id="9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960" w:firstLineChars="300"/>
        <w:jc w:val="both"/>
        <w:textAlignment w:val="baseline"/>
        <w:outlineLvl w:val="2"/>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 五 ) 课程内容和要求</w:t>
      </w:r>
    </w:p>
    <w:tbl>
      <w:tblPr>
        <w:tblStyle w:val="23"/>
        <w:tblW w:w="9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919"/>
        <w:gridCol w:w="2835"/>
        <w:gridCol w:w="2820"/>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2"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kern w:val="0"/>
                <w:sz w:val="21"/>
                <w:szCs w:val="21"/>
                <w:lang w:bidi="ar"/>
              </w:rPr>
            </w:pPr>
            <w:r>
              <w:rPr>
                <w:rFonts w:hint="eastAsia" w:ascii="黑体" w:hAnsi="黑体" w:eastAsia="黑体" w:cs="黑体"/>
                <w:b w:val="0"/>
                <w:bCs w:val="0"/>
                <w:kern w:val="0"/>
                <w:sz w:val="21"/>
                <w:szCs w:val="21"/>
                <w:lang w:val="en-US" w:eastAsia="zh-CN" w:bidi="ar"/>
              </w:rPr>
              <w:t>序号</w:t>
            </w:r>
          </w:p>
        </w:tc>
        <w:tc>
          <w:tcPr>
            <w:tcW w:w="1919"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kern w:val="0"/>
                <w:sz w:val="21"/>
                <w:szCs w:val="21"/>
                <w:lang w:bidi="ar"/>
              </w:rPr>
            </w:pPr>
            <w:r>
              <w:rPr>
                <w:rFonts w:hint="eastAsia" w:ascii="黑体" w:hAnsi="黑体" w:eastAsia="黑体" w:cs="黑体"/>
                <w:b w:val="0"/>
                <w:bCs w:val="0"/>
                <w:kern w:val="0"/>
                <w:sz w:val="21"/>
                <w:szCs w:val="21"/>
                <w:lang w:val="en-US" w:eastAsia="zh-CN" w:bidi="ar"/>
              </w:rPr>
              <w:t>教学项目</w:t>
            </w:r>
          </w:p>
        </w:tc>
        <w:tc>
          <w:tcPr>
            <w:tcW w:w="2835"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kern w:val="0"/>
                <w:sz w:val="21"/>
                <w:szCs w:val="21"/>
                <w:lang w:bidi="ar"/>
              </w:rPr>
            </w:pPr>
            <w:r>
              <w:rPr>
                <w:rFonts w:hint="eastAsia" w:ascii="黑体" w:hAnsi="黑体" w:eastAsia="黑体" w:cs="黑体"/>
                <w:b w:val="0"/>
                <w:bCs w:val="0"/>
                <w:kern w:val="0"/>
                <w:sz w:val="21"/>
                <w:szCs w:val="21"/>
                <w:lang w:val="en-US" w:eastAsia="zh-CN" w:bidi="ar"/>
              </w:rPr>
              <w:t>教学内容与教学要求</w:t>
            </w:r>
          </w:p>
        </w:tc>
        <w:tc>
          <w:tcPr>
            <w:tcW w:w="282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kern w:val="0"/>
                <w:sz w:val="21"/>
                <w:szCs w:val="21"/>
                <w:lang w:bidi="ar"/>
              </w:rPr>
            </w:pPr>
            <w:r>
              <w:rPr>
                <w:rFonts w:hint="eastAsia" w:ascii="黑体" w:hAnsi="黑体" w:eastAsia="黑体" w:cs="黑体"/>
                <w:b w:val="0"/>
                <w:bCs w:val="0"/>
                <w:kern w:val="0"/>
                <w:sz w:val="21"/>
                <w:szCs w:val="21"/>
                <w:lang w:val="en-US" w:eastAsia="zh-CN" w:bidi="ar"/>
              </w:rPr>
              <w:t>教学活动设计建议</w:t>
            </w:r>
          </w:p>
        </w:tc>
        <w:tc>
          <w:tcPr>
            <w:tcW w:w="1050" w:type="dxa"/>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kern w:val="0"/>
                <w:sz w:val="21"/>
                <w:szCs w:val="21"/>
                <w:lang w:bidi="ar"/>
              </w:rPr>
            </w:pPr>
            <w:r>
              <w:rPr>
                <w:rFonts w:hint="eastAsia" w:ascii="黑体" w:hAnsi="黑体" w:eastAsia="黑体" w:cs="黑体"/>
                <w:b w:val="0"/>
                <w:bCs w:val="0"/>
                <w:kern w:val="0"/>
                <w:sz w:val="21"/>
                <w:szCs w:val="21"/>
                <w:lang w:val="en-US" w:eastAsia="zh-CN" w:bidi="ar"/>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3" w:hRule="atLeast"/>
        </w:trPr>
        <w:tc>
          <w:tcPr>
            <w:tcW w:w="772" w:type="dxa"/>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项目一</w:t>
            </w:r>
          </w:p>
          <w:p>
            <w:pPr>
              <w:pStyle w:val="24"/>
              <w:keepNext w:val="0"/>
              <w:keepLines w:val="0"/>
              <w:pageBreakBefore w:val="0"/>
              <w:wordWrap/>
              <w:overflowPunct/>
              <w:topLinePunct w:val="0"/>
              <w:bidi w:val="0"/>
              <w:spacing w:line="215" w:lineRule="auto"/>
              <w:ind w:left="2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原料概述</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1.了解烹饪原料研究的内容；熟悉烹饪原料的分类；</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2.掌握学习烹饪原料的方法以及途径。</w:t>
            </w:r>
          </w:p>
        </w:tc>
        <w:tc>
          <w:tcPr>
            <w:tcW w:w="2820" w:type="dxa"/>
            <w:vAlign w:val="center"/>
          </w:tcPr>
          <w:p>
            <w:pPr>
              <w:pStyle w:val="24"/>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1.可采用互动游戏、图片赏析等方式，了解本课程内容，帮助学生掌握学习方法，制定学习规划。</w:t>
            </w:r>
          </w:p>
        </w:tc>
        <w:tc>
          <w:tcPr>
            <w:tcW w:w="1050" w:type="dxa"/>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3" w:hRule="atLeast"/>
        </w:trPr>
        <w:tc>
          <w:tcPr>
            <w:tcW w:w="772" w:type="dxa"/>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pStyle w:val="24"/>
              <w:keepNext w:val="0"/>
              <w:keepLines w:val="0"/>
              <w:pageBreakBefore w:val="0"/>
              <w:wordWrap/>
              <w:overflowPunct/>
              <w:topLinePunct w:val="0"/>
              <w:bidi w:val="0"/>
              <w:spacing w:line="215" w:lineRule="auto"/>
              <w:ind w:left="2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粮食类原料</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1.了解粮食类原料的概念、组织结构及营养结构；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2.熟悉粮食类原料的分类方法及常见粮食类原料在中西面点中的应用；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3.掌握常见粮食类原料的名称、产地和产季，以及品质鉴定标准与储存方法；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4.能运用各种粮食类原料进行中西面点加工操作。</w:t>
            </w:r>
          </w:p>
        </w:tc>
        <w:tc>
          <w:tcPr>
            <w:tcW w:w="2820" w:type="dxa"/>
            <w:vAlign w:val="center"/>
          </w:tcPr>
          <w:p>
            <w:pPr>
              <w:pStyle w:val="24"/>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1.可在学生生活经验的基础上，以 “我的家乡美食”为题，通过小组分享等方式，激发学生兴趣，培养学生刻苦学习、钻研专业知识的态度；</w:t>
            </w:r>
          </w:p>
          <w:p>
            <w:pPr>
              <w:pStyle w:val="24"/>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2.可采用小组竞赛、课堂游戏、知识抢答等方式，通过分组培养学生团队协作精神，提高协作能力。</w:t>
            </w:r>
          </w:p>
        </w:tc>
        <w:tc>
          <w:tcPr>
            <w:tcW w:w="1050" w:type="dxa"/>
            <w:vAlign w:val="center"/>
          </w:tcPr>
          <w:p>
            <w:pPr>
              <w:spacing w:line="241" w:lineRule="auto"/>
              <w:jc w:val="both"/>
              <w:rPr>
                <w:rFonts w:hint="eastAsia" w:ascii="仿宋_GB2312" w:hAnsi="仿宋_GB2312" w:eastAsia="仿宋_GB2312" w:cs="仿宋_GB2312"/>
                <w:sz w:val="21"/>
                <w:szCs w:val="21"/>
              </w:rPr>
            </w:pPr>
          </w:p>
          <w:p>
            <w:pPr>
              <w:pStyle w:val="24"/>
              <w:spacing w:before="78" w:line="180" w:lineRule="auto"/>
              <w:jc w:val="center"/>
              <w:rPr>
                <w:rFonts w:hint="eastAsia" w:ascii="仿宋_GB2312" w:hAnsi="仿宋_GB2312" w:eastAsia="仿宋_GB2312" w:cs="仿宋_GB2312"/>
                <w:spacing w:val="-13"/>
                <w:sz w:val="21"/>
                <w:szCs w:val="21"/>
                <w:lang w:val="en-US" w:eastAsia="zh-CN"/>
              </w:rPr>
            </w:pPr>
            <w:r>
              <w:rPr>
                <w:rFonts w:hint="eastAsia" w:ascii="仿宋_GB2312" w:hAnsi="仿宋_GB2312" w:eastAsia="仿宋_GB2312" w:cs="仿宋_GB2312"/>
                <w:spacing w:val="-13"/>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2" w:type="dxa"/>
            <w:vAlign w:val="center"/>
          </w:tcPr>
          <w:p>
            <w:pPr>
              <w:pStyle w:val="24"/>
              <w:spacing w:before="78" w:line="181"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pStyle w:val="24"/>
              <w:keepNext w:val="0"/>
              <w:keepLines w:val="0"/>
              <w:pageBreakBefore w:val="0"/>
              <w:wordWrap/>
              <w:overflowPunct/>
              <w:topLinePunct w:val="0"/>
              <w:bidi w:val="0"/>
              <w:spacing w:line="251"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蔬菜类原料</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1.了解蔬菜类原料的概念、组织结构及营养结构；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2.熟悉蔬菜类原料的分类方法，以及常见蔬菜在中西面点中的应用；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3.掌握常见蔬菜的名称、产季、 产地以及品质鉴定标准与储存方法；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4.能运用各种蔬菜类原料进行烹饪加工操作。</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1.可以“我认识的蔬菜类菜品”为题，启发学生思考；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2.可利用微课、图片展示、实物展示、食品案例分析等方式，进一步强化学生的食品安全意识；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3.可与专业实训课结合，让学生了解蔬菜类原料的用途，提升知识应用能力，知行合一。</w:t>
            </w:r>
          </w:p>
        </w:tc>
        <w:tc>
          <w:tcPr>
            <w:tcW w:w="1050" w:type="dxa"/>
            <w:vAlign w:val="center"/>
          </w:tcPr>
          <w:p>
            <w:pPr>
              <w:pStyle w:val="24"/>
              <w:spacing w:before="78" w:line="180" w:lineRule="auto"/>
              <w:jc w:val="center"/>
              <w:rPr>
                <w:rFonts w:hint="eastAsia" w:ascii="仿宋_GB2312" w:hAnsi="仿宋_GB2312" w:eastAsia="仿宋_GB2312" w:cs="仿宋_GB2312"/>
                <w:spacing w:val="-13"/>
                <w:sz w:val="21"/>
                <w:szCs w:val="21"/>
                <w:lang w:val="en-US" w:eastAsia="zh-CN"/>
              </w:rPr>
            </w:pPr>
            <w:r>
              <w:rPr>
                <w:rFonts w:hint="eastAsia" w:ascii="仿宋_GB2312" w:hAnsi="仿宋_GB2312" w:eastAsia="仿宋_GB2312" w:cs="仿宋_GB2312"/>
                <w:spacing w:val="-13"/>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2"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919"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项目四</w:t>
            </w: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果品类原料</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1.了解果品类原料的概念、组织结构及营养结构；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2.熟悉果品类原料的分类方法，以及常见果品在烹饪中的应用；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3.掌握常见果品的名称、产季、 产地，了解其品质鉴定标准与储存方法；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4.能运用各种果品类原料进行中西面点加工操作。</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 xml:space="preserve">1.可通过案例分析、视频推荐等方式，引导学生掌握果品特点，培养学生自主学习的习惯和积极求知的精神；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2.可以“家乡的水果”为题，采用分组讨论、小组竞赛等方式，明确本单元学习重点，培养学生团队精神与协作能力。</w:t>
            </w:r>
          </w:p>
        </w:tc>
        <w:tc>
          <w:tcPr>
            <w:tcW w:w="1050" w:type="dxa"/>
            <w:vAlign w:val="center"/>
          </w:tcPr>
          <w:p>
            <w:pPr>
              <w:spacing w:line="244" w:lineRule="auto"/>
              <w:jc w:val="center"/>
              <w:rPr>
                <w:rFonts w:hint="eastAsia" w:ascii="仿宋_GB2312" w:hAnsi="仿宋_GB2312" w:eastAsia="仿宋_GB2312" w:cs="仿宋_GB2312"/>
                <w:sz w:val="21"/>
                <w:szCs w:val="21"/>
              </w:rPr>
            </w:pPr>
          </w:p>
          <w:p>
            <w:pPr>
              <w:bidi w:val="0"/>
              <w:jc w:val="center"/>
              <w:rPr>
                <w:rFonts w:hint="eastAsia" w:ascii="仿宋_GB2312" w:hAnsi="仿宋_GB2312" w:eastAsia="仿宋_GB2312" w:cs="仿宋_GB2312"/>
                <w:kern w:val="2"/>
                <w:sz w:val="21"/>
                <w:szCs w:val="21"/>
                <w:lang w:val="en-US" w:eastAsia="zh-CN" w:bidi="ar-SA"/>
              </w:rPr>
            </w:pPr>
          </w:p>
          <w:p>
            <w:pPr>
              <w:bidi w:val="0"/>
              <w:jc w:val="center"/>
              <w:rPr>
                <w:rFonts w:hint="eastAsia" w:ascii="仿宋_GB2312" w:hAnsi="仿宋_GB2312" w:eastAsia="仿宋_GB2312" w:cs="仿宋_GB2312"/>
                <w:sz w:val="21"/>
                <w:szCs w:val="21"/>
                <w:lang w:val="en-US" w:eastAsia="zh-CN"/>
              </w:rPr>
            </w:pPr>
          </w:p>
          <w:p>
            <w:pPr>
              <w:bidi w:val="0"/>
              <w:jc w:val="center"/>
              <w:rPr>
                <w:rFonts w:hint="eastAsia" w:ascii="仿宋_GB2312" w:hAnsi="仿宋_GB2312" w:eastAsia="仿宋_GB2312" w:cs="仿宋_GB2312"/>
                <w:sz w:val="21"/>
                <w:szCs w:val="21"/>
                <w:lang w:val="en-US" w:eastAsia="zh-CN"/>
              </w:rPr>
            </w:pPr>
          </w:p>
          <w:p>
            <w:pPr>
              <w:bidi w:val="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772" w:type="dxa"/>
            <w:vAlign w:val="center"/>
          </w:tcPr>
          <w:p>
            <w:pPr>
              <w:pStyle w:val="24"/>
              <w:spacing w:before="78" w:line="181"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项目五</w:t>
            </w:r>
          </w:p>
          <w:p>
            <w:pPr>
              <w:pStyle w:val="24"/>
              <w:keepNext w:val="0"/>
              <w:keepLines w:val="0"/>
              <w:pageBreakBefore w:val="0"/>
              <w:wordWrap/>
              <w:overflowPunct/>
              <w:topLinePunct w:val="0"/>
              <w:bidi w:val="0"/>
              <w:spacing w:line="254"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畜禽类原料</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1.了解畜、禽类原料的概念、组织结构及营养结构；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2.熟悉畜、禽类原料的分类方 法以及常见畜、禽类原料在中西面点中的应用；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3.掌握常见畜、禽类原料的名 称、产季、产地，了解其品质鉴定标准与储存方法；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4.能使用乳及乳制品的品质鉴 定标准与储存方法，熟练其在中西面点中的应用；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5.能使用禽蛋及其制品的品质 鉴定标准与储存方法，熟练其在烹饪中的应用。</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1.可利用学生的生活经验，发挥学生的主体作用，学生自己制作学习页，培养归纳总结能力；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2.可通过食品安全事件分析，提升学生的安全防护能力，引导学生诚实守信；</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3.可采用小组竞赛、课堂游 戏等方式，激发学生学习兴 趣，通过分组培养学生团队协作精神，提高协作能力</w:t>
            </w:r>
          </w:p>
        </w:tc>
        <w:tc>
          <w:tcPr>
            <w:tcW w:w="1050" w:type="dxa"/>
            <w:vAlign w:val="center"/>
          </w:tcPr>
          <w:p>
            <w:pPr>
              <w:pStyle w:val="24"/>
              <w:spacing w:before="78" w:line="181"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15"/>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2" w:type="dxa"/>
            <w:vAlign w:val="center"/>
          </w:tcPr>
          <w:p>
            <w:pPr>
              <w:pStyle w:val="24"/>
              <w:spacing w:before="78" w:line="178"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919" w:type="dxa"/>
            <w:vAlign w:val="center"/>
          </w:tcPr>
          <w:p>
            <w:pPr>
              <w:pStyle w:val="24"/>
              <w:keepNext w:val="0"/>
              <w:keepLines w:val="0"/>
              <w:pageBreakBefore w:val="0"/>
              <w:wordWrap/>
              <w:overflowPunct/>
              <w:topLinePunct w:val="0"/>
              <w:bidi w:val="0"/>
              <w:spacing w:line="246" w:lineRule="auto"/>
              <w:ind w:right="178"/>
              <w:jc w:val="both"/>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项目六</w:t>
            </w:r>
          </w:p>
          <w:p>
            <w:pPr>
              <w:pStyle w:val="24"/>
              <w:keepNext w:val="0"/>
              <w:keepLines w:val="0"/>
              <w:pageBreakBefore w:val="0"/>
              <w:wordWrap/>
              <w:overflowPunct/>
              <w:topLinePunct w:val="0"/>
              <w:bidi w:val="0"/>
              <w:spacing w:line="246" w:lineRule="auto"/>
              <w:ind w:right="178"/>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水产品类原料</w:t>
            </w: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1.了解水产品类原料的概念、组织结构及营养结构；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2.熟悉水产品类原料的分类方法以及常见水产品类在烹饪中的应用；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3.掌握常见水产品类的名称、产季、产地，了解其品质鉴定标准与储存方法；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4.能运用各种水产品类原料进行烹饪加工操作。</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1.可让学生到酒店、水产市 场调研，列出清单，小组分 享，发挥学生主体作用，激发学生兴趣；</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2.可利用视频 、 图片等方式，展示品种分类与品质鉴定标准，培养学生烹饪工作者必备的职业素养</w:t>
            </w:r>
          </w:p>
        </w:tc>
        <w:tc>
          <w:tcPr>
            <w:tcW w:w="1050" w:type="dxa"/>
            <w:vAlign w:val="center"/>
          </w:tcPr>
          <w:p>
            <w:pPr>
              <w:pStyle w:val="24"/>
              <w:spacing w:before="78" w:line="181"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15"/>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6" w:hRule="atLeast"/>
        </w:trPr>
        <w:tc>
          <w:tcPr>
            <w:tcW w:w="772" w:type="dxa"/>
            <w:vAlign w:val="center"/>
          </w:tcPr>
          <w:p>
            <w:pPr>
              <w:pStyle w:val="24"/>
              <w:spacing w:before="78" w:line="178" w:lineRule="auto"/>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项目七</w:t>
            </w:r>
          </w:p>
          <w:p>
            <w:pPr>
              <w:pStyle w:val="24"/>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干货类原料</w:t>
            </w:r>
          </w:p>
          <w:p>
            <w:pPr>
              <w:pStyle w:val="24"/>
              <w:keepNext w:val="0"/>
              <w:keepLines w:val="0"/>
              <w:pageBreakBefore w:val="0"/>
              <w:wordWrap/>
              <w:overflowPunct/>
              <w:topLinePunct w:val="0"/>
              <w:bidi w:val="0"/>
              <w:spacing w:line="246" w:lineRule="auto"/>
              <w:ind w:right="178"/>
              <w:jc w:val="center"/>
              <w:rPr>
                <w:rFonts w:hint="eastAsia" w:ascii="仿宋_GB2312" w:hAnsi="仿宋_GB2312" w:eastAsia="仿宋_GB2312" w:cs="仿宋_GB2312"/>
                <w:kern w:val="2"/>
                <w:sz w:val="21"/>
                <w:szCs w:val="21"/>
                <w:lang w:val="en-US" w:eastAsia="zh-CN" w:bidi="ar-SA"/>
              </w:rPr>
            </w:pPr>
          </w:p>
        </w:tc>
        <w:tc>
          <w:tcPr>
            <w:tcW w:w="2835" w:type="dxa"/>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1.了解干货类原料的概念、组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织结构及营养结构；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2.熟悉干货类原料的分类方法 以及常见干货类在烹饪中的应用；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3.掌握常见干货类的名称、产季、产地， 了解其品质鉴定标准与储存方法；</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4.能运用各种干货类原料进行中西面点加工操作。</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1.可设置情景模拟、售卖模 拟等方式，使学生更了解干货类原料知识，培养学生爱 岗敬业的职业道德和创业立业的本领；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2.可组织现场原料的鉴别，采用小组竞赛、课堂游戏等方式，激发学生学习兴趣，通过分组培养学生团队协作精神，提高协作能力。</w:t>
            </w:r>
          </w:p>
        </w:tc>
        <w:tc>
          <w:tcPr>
            <w:tcW w:w="1050" w:type="dxa"/>
            <w:vAlign w:val="center"/>
          </w:tcPr>
          <w:p>
            <w:pPr>
              <w:pStyle w:val="24"/>
              <w:spacing w:before="78" w:line="181" w:lineRule="auto"/>
              <w:jc w:val="center"/>
              <w:rPr>
                <w:rFonts w:hint="eastAsia" w:ascii="仿宋_GB2312" w:hAnsi="仿宋_GB2312" w:eastAsia="仿宋_GB2312" w:cs="仿宋_GB2312"/>
                <w:spacing w:val="-15"/>
                <w:sz w:val="21"/>
                <w:szCs w:val="21"/>
                <w:highlight w:val="none"/>
                <w:lang w:val="en-US" w:eastAsia="zh-CN"/>
              </w:rPr>
            </w:pPr>
            <w:r>
              <w:rPr>
                <w:rFonts w:hint="eastAsia" w:ascii="仿宋_GB2312" w:hAnsi="仿宋_GB2312" w:eastAsia="仿宋_GB2312" w:cs="仿宋_GB2312"/>
                <w:spacing w:val="-15"/>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1" w:hRule="atLeast"/>
        </w:trPr>
        <w:tc>
          <w:tcPr>
            <w:tcW w:w="772" w:type="dxa"/>
            <w:vAlign w:val="center"/>
          </w:tcPr>
          <w:p>
            <w:pPr>
              <w:pStyle w:val="24"/>
              <w:spacing w:before="78" w:line="178"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1919"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项目八</w:t>
            </w:r>
          </w:p>
          <w:p>
            <w:pPr>
              <w:pStyle w:val="24"/>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调辅类原料</w:t>
            </w:r>
          </w:p>
          <w:p>
            <w:pPr>
              <w:pStyle w:val="24"/>
              <w:keepNext w:val="0"/>
              <w:keepLines w:val="0"/>
              <w:pageBreakBefore w:val="0"/>
              <w:wordWrap/>
              <w:overflowPunct/>
              <w:topLinePunct w:val="0"/>
              <w:bidi w:val="0"/>
              <w:spacing w:line="246" w:lineRule="auto"/>
              <w:ind w:right="178" w:rightChars="0"/>
              <w:jc w:val="center"/>
              <w:rPr>
                <w:rFonts w:hint="eastAsia" w:ascii="仿宋_GB2312" w:hAnsi="仿宋_GB2312" w:eastAsia="仿宋_GB2312" w:cs="仿宋_GB2312"/>
                <w:kern w:val="2"/>
                <w:sz w:val="21"/>
                <w:szCs w:val="21"/>
                <w:lang w:val="en-US" w:eastAsia="zh-CN" w:bidi="ar-SA"/>
              </w:rPr>
            </w:pPr>
          </w:p>
        </w:tc>
        <w:tc>
          <w:tcPr>
            <w:tcW w:w="2835" w:type="dxa"/>
            <w:vAlign w:val="center"/>
          </w:tcPr>
          <w:p>
            <w:pPr>
              <w:pStyle w:val="24"/>
              <w:keepNext w:val="0"/>
              <w:keepLines w:val="0"/>
              <w:pageBreakBefore w:val="0"/>
              <w:widowControl w:val="0"/>
              <w:numPr>
                <w:ilvl w:val="0"/>
                <w:numId w:val="3"/>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了解各类调辅料的概念、特性；</w:t>
            </w:r>
          </w:p>
          <w:p>
            <w:pPr>
              <w:pStyle w:val="24"/>
              <w:keepNext w:val="0"/>
              <w:keepLines w:val="0"/>
              <w:pageBreakBefore w:val="0"/>
              <w:widowControl w:val="0"/>
              <w:numPr>
                <w:ilvl w:val="0"/>
                <w:numId w:val="3"/>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熟悉调辅类原料的分类方法以及常见调辅类在烹饪中的应用；</w:t>
            </w:r>
          </w:p>
          <w:p>
            <w:pPr>
              <w:pStyle w:val="24"/>
              <w:keepNext w:val="0"/>
              <w:keepLines w:val="0"/>
              <w:pageBreakBefore w:val="0"/>
              <w:widowControl w:val="0"/>
              <w:numPr>
                <w:ilvl w:val="0"/>
                <w:numId w:val="3"/>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掌握各类调辅料的品质鉴定标准与储存方法；</w:t>
            </w:r>
          </w:p>
          <w:p>
            <w:pPr>
              <w:pStyle w:val="24"/>
              <w:keepNext w:val="0"/>
              <w:keepLines w:val="0"/>
              <w:pageBreakBefore w:val="0"/>
              <w:widowControl w:val="0"/>
              <w:numPr>
                <w:ilvl w:val="0"/>
                <w:numId w:val="3"/>
              </w:numPr>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能运用各种调料和辅助原料进行烹饪操作</w:t>
            </w:r>
          </w:p>
        </w:tc>
        <w:tc>
          <w:tcPr>
            <w:tcW w:w="28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可布置家庭实践作业，让学生回家分辨调辅料，给家人讲述其作用，培养学生对专业的认同感和自豪感。</w:t>
            </w:r>
          </w:p>
        </w:tc>
        <w:tc>
          <w:tcPr>
            <w:tcW w:w="1050" w:type="dxa"/>
            <w:vAlign w:val="center"/>
          </w:tcPr>
          <w:p>
            <w:pPr>
              <w:pStyle w:val="24"/>
              <w:spacing w:before="78" w:line="181" w:lineRule="auto"/>
              <w:jc w:val="center"/>
              <w:rPr>
                <w:rFonts w:hint="eastAsia" w:ascii="仿宋_GB2312" w:hAnsi="仿宋_GB2312" w:eastAsia="仿宋_GB2312" w:cs="仿宋_GB2312"/>
                <w:spacing w:val="-15"/>
                <w:sz w:val="21"/>
                <w:szCs w:val="21"/>
                <w:highlight w:val="none"/>
                <w:lang w:val="en-US" w:eastAsia="zh-CN"/>
              </w:rPr>
            </w:pPr>
            <w:r>
              <w:rPr>
                <w:rFonts w:hint="eastAsia" w:ascii="仿宋_GB2312" w:hAnsi="仿宋_GB2312" w:eastAsia="仿宋_GB2312" w:cs="仿宋_GB2312"/>
                <w:spacing w:val="-15"/>
                <w:sz w:val="21"/>
                <w:szCs w:val="21"/>
                <w:highlight w:val="none"/>
                <w:lang w:val="en-US" w:eastAsia="zh-CN"/>
              </w:rPr>
              <w:t>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（1）坚持正确的育人理念，充分挖掘本课程思政元素，积极组织课程思政教育，养成正确的中西面点专业从业人员职业道德意识，将立德树人贯穿于课程实施全过程。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（2）课程以中西面点原料知识为主体，以职业实践为主线，积极探索理论和实践相结合的教学模式，采用理实一体化教学，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学生掌握常用材料选用、搭配、替换；具有一定的企业生产能力；掌握原料选择、加工、储藏方法；掌握在新工艺中的使用方法</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技能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西点原料、设施设备、制作步骤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（1）配备本课程必备的活页手册和技术资料，参照技能实训室实训设备配备标准配齐必备的教学设备和实验、实训器材，定期向学生开放，充分提高设备利用率。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（2）注重企业生产实践现场的作用，安排酒店西点间、烘焙车间的参观学习，熟悉各类制品的使用，增强学生的感性认识。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（1）教材编写以本课程标准为基本要求，编写时应将西式面点基础技术的基本原理与生产生活中的实际应用相结合，注重实践技能的培养，注意反映西式面点技术领域的新知识、新技术、新工艺和新材料。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 w:hAnsi="仿宋" w:eastAsia="仿宋"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bidi w:val="0"/>
        <w:snapToGrid w:val="0"/>
        <w:spacing w:before="156" w:beforeLines="50" w:after="156" w:afterLines="50" w:line="580" w:lineRule="exact"/>
        <w:jc w:val="center"/>
        <w:outlineLvl w:val="1"/>
        <w:rPr>
          <w:rFonts w:hint="default"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烹饪营养与安全课程标准</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（一）课程性质与任务</w:t>
      </w:r>
    </w:p>
    <w:p>
      <w:pPr>
        <w:keepNext w:val="0"/>
        <w:keepLines w:val="0"/>
        <w:pageBreakBefore w:val="0"/>
        <w:widowControl w:val="0"/>
        <w:kinsoku/>
        <w:wordWrap/>
        <w:overflowPunct/>
        <w:topLinePunct w:val="0"/>
        <w:autoSpaceDN/>
        <w:bidi w:val="0"/>
        <w:adjustRightInd w:val="0"/>
        <w:snapToGrid w:val="0"/>
        <w:spacing w:line="560" w:lineRule="atLeast"/>
        <w:ind w:firstLine="482"/>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中等职业学校中西面点专业的一门专业基础课程。其目的在于让学生对烹饪原料的营养与卫生有一个整体的认识，使学生了解食物的各种营养成分和对人体的作用，具备饮食卫生以及如何保证人体健康等食品营养与卫生基本职业能力，强化学生食品安全意识，并为后续学习各专门化方向课程做好前期准备。</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（6）诚实守信，具有较强的食品卫生安全意识、爱岗敬业意识和创新意识。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（7）具有科学烹调的观念，辩证地思考和分析烹调过程中营养素的变化及其对人体的作用。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（1）了解营养卫生与人体健康及烹饪之间的关系。</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（2）了解我国在饮食营养卫生方面的成就与发展。</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（3）掌握科学烹饪、平衡膳食及营养的合理搭配等方面的基本知识。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（1）掌握科学烹饪的基本的技能。</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（2）具备现代饮食营养卫生的基本技能，具有预防食物中毒的能力。</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rPr>
        <w:t>（3）培养学生科学、合理搭配膳食的能力。</w:t>
      </w:r>
    </w:p>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hAnsi="仿宋_GB2312" w:eastAsia="仿宋_GB2312" w:cs="仿宋_GB2312"/>
          <w:snapToGrid/>
          <w:color w:val="auto"/>
          <w:kern w:val="2"/>
          <w:sz w:val="32"/>
          <w:szCs w:val="32"/>
          <w:lang w:val="en-US" w:eastAsia="zh-CN" w:bidi="ar"/>
        </w:rPr>
        <w:t>能够从案例中寻找共性举一反三， 不断养成岗位要求需要的职业素养的能力。</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outlineLvl w:val="2"/>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right="0" w:firstLine="960" w:firstLineChars="300"/>
        <w:jc w:val="both"/>
        <w:textAlignment w:val="baseline"/>
        <w:outlineLvl w:val="2"/>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tbl>
      <w:tblPr>
        <w:tblStyle w:val="16"/>
        <w:tblW w:w="9581" w:type="dxa"/>
        <w:tblInd w:w="0" w:type="dxa"/>
        <w:tblLayout w:type="fixed"/>
        <w:tblCellMar>
          <w:top w:w="0" w:type="dxa"/>
          <w:left w:w="108" w:type="dxa"/>
          <w:bottom w:w="0" w:type="dxa"/>
          <w:right w:w="108" w:type="dxa"/>
        </w:tblCellMar>
      </w:tblPr>
      <w:tblGrid>
        <w:gridCol w:w="806"/>
        <w:gridCol w:w="1545"/>
        <w:gridCol w:w="3702"/>
        <w:gridCol w:w="2768"/>
        <w:gridCol w:w="760"/>
      </w:tblGrid>
      <w:tr>
        <w:tblPrEx>
          <w:tblCellMar>
            <w:top w:w="0" w:type="dxa"/>
            <w:left w:w="108" w:type="dxa"/>
            <w:bottom w:w="0" w:type="dxa"/>
            <w:right w:w="108" w:type="dxa"/>
          </w:tblCellMar>
        </w:tblPrEx>
        <w:trPr>
          <w:trHeight w:val="570"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序号</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val="zh-CN" w:bidi="ar"/>
              </w:rPr>
              <w:t>教学单元</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bidi="ar"/>
              </w:rPr>
              <w:t>课程内容与要求</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val="zh-CN" w:bidi="ar"/>
              </w:rPr>
              <w:t>教学设计与建议</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黑体" w:hAnsi="黑体" w:eastAsia="黑体" w:cs="黑体"/>
                <w:kern w:val="0"/>
                <w:sz w:val="21"/>
                <w:szCs w:val="21"/>
                <w:lang w:bidi="ar"/>
              </w:rPr>
            </w:pPr>
            <w:r>
              <w:rPr>
                <w:rFonts w:hint="eastAsia" w:ascii="黑体" w:hAnsi="黑体" w:eastAsia="黑体" w:cs="黑体"/>
                <w:kern w:val="0"/>
                <w:sz w:val="21"/>
                <w:szCs w:val="21"/>
                <w:lang w:val="zh-CN" w:bidi="ar"/>
              </w:rPr>
              <w:t>参考课时</w:t>
            </w:r>
          </w:p>
        </w:tc>
      </w:tr>
      <w:tr>
        <w:tblPrEx>
          <w:tblCellMar>
            <w:top w:w="0" w:type="dxa"/>
            <w:left w:w="108" w:type="dxa"/>
            <w:bottom w:w="0" w:type="dxa"/>
            <w:right w:w="108" w:type="dxa"/>
          </w:tblCellMar>
        </w:tblPrEx>
        <w:trPr>
          <w:trHeight w:val="90"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营养基础知识</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1.掌握糖类、脂类、蛋白质、维生素、无机盐、水等六大营养素的种类、性质、生理功用及食物来源</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2.掌握六大营养素之间的关系</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3.掌握热量计算方法</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4.了解食物的消化与吸收</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zh-CN" w:eastAsia="zh-CN"/>
              </w:rPr>
              <w:t>展示营养素缺乏的案例、缺少营养素人群的图片、视频</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zh-CN" w:eastAsia="zh-CN"/>
              </w:rPr>
              <w:t>探索各种营养素对人体的作用</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lang w:val="zh-CN" w:eastAsia="zh-CN"/>
              </w:rPr>
              <w:t>展示人体活动模型</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4.</w:t>
            </w:r>
            <w:r>
              <w:rPr>
                <w:rFonts w:hint="eastAsia" w:ascii="仿宋_GB2312" w:hAnsi="仿宋_GB2312" w:eastAsia="仿宋_GB2312" w:cs="仿宋_GB2312"/>
                <w:kern w:val="0"/>
                <w:szCs w:val="21"/>
                <w:lang w:val="zh-CN" w:eastAsia="zh-CN"/>
              </w:rPr>
              <w:t>学生实践：膳食营养调查</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r>
      <w:tr>
        <w:tblPrEx>
          <w:tblCellMar>
            <w:top w:w="0" w:type="dxa"/>
            <w:left w:w="108" w:type="dxa"/>
            <w:bottom w:w="0" w:type="dxa"/>
            <w:right w:w="108" w:type="dxa"/>
          </w:tblCellMar>
        </w:tblPrEx>
        <w:trPr>
          <w:trHeight w:val="1628"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烹饪原料的</w:t>
            </w:r>
          </w:p>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lang w:val="zh-CN" w:eastAsia="zh-CN"/>
              </w:rPr>
              <w:t>营养价值</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1.了解烹饪原料的分类、营养成分及特点</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 xml:space="preserve">2.掌握主要烹饪原料（谷物、豆类及其制品、蔬菜、畜禽类、蛋类与奶类、水产品、果品、食用菌）的营养价值 </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1.查阅食品营养成分表</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2.分析比较各种食物的不同营养价值</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3.收集展示食品包装成分说明</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r>
      <w:tr>
        <w:tblPrEx>
          <w:tblCellMar>
            <w:top w:w="0" w:type="dxa"/>
            <w:left w:w="108" w:type="dxa"/>
            <w:bottom w:w="0" w:type="dxa"/>
            <w:right w:w="108" w:type="dxa"/>
          </w:tblCellMar>
        </w:tblPrEx>
        <w:trPr>
          <w:trHeight w:val="624"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pStyle w:val="32"/>
              <w:keepNext w:val="0"/>
              <w:keepLines w:val="0"/>
              <w:pageBreakBefore w:val="0"/>
              <w:wordWrap/>
              <w:overflowPunct/>
              <w:topLinePunct w:val="0"/>
              <w:bidi w:val="0"/>
              <w:adjustRightInd w:val="0"/>
              <w:snapToGrid w:val="0"/>
              <w:spacing w:line="380" w:lineRule="exact"/>
              <w:ind w:right="0" w:firstLine="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pStyle w:val="32"/>
              <w:keepNext w:val="0"/>
              <w:keepLines w:val="0"/>
              <w:pageBreakBefore w:val="0"/>
              <w:widowControl w:val="0"/>
              <w:kinsoku/>
              <w:wordWrap/>
              <w:overflowPunct/>
              <w:topLinePunct w:val="0"/>
              <w:bidi w:val="0"/>
              <w:adjustRightInd w:val="0"/>
              <w:snapToGrid w:val="0"/>
              <w:spacing w:line="300" w:lineRule="exact"/>
              <w:ind w:right="0" w:firstLine="0"/>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合理烹饪与</w:t>
            </w:r>
          </w:p>
          <w:p>
            <w:pPr>
              <w:pStyle w:val="32"/>
              <w:keepNext w:val="0"/>
              <w:keepLines w:val="0"/>
              <w:pageBreakBefore w:val="0"/>
              <w:widowControl w:val="0"/>
              <w:kinsoku/>
              <w:wordWrap/>
              <w:overflowPunct/>
              <w:topLinePunct w:val="0"/>
              <w:bidi w:val="0"/>
              <w:adjustRightInd w:val="0"/>
              <w:snapToGrid w:val="0"/>
              <w:spacing w:line="300" w:lineRule="exact"/>
              <w:ind w:right="0" w:firstLine="0"/>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平衡膳食</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1.了解合理烹饪、平衡膳食的目的及意义</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2.理解合理烹饪与平衡膳食的概念</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3.掌握合理烹调与加工的目的与方法</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4.了解几种人群的膳食特点</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5.了解不同国家的膳食营养结构特点</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1.学生实践操作，从感官上了解食品在烹调中的变化</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2.学生实践操作，探究烹调对食品营养与卫生的影响，掌握合理烹饪、减少营养素损失，提高菜肴质量的方法</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r>
      <w:tr>
        <w:tblPrEx>
          <w:tblCellMar>
            <w:top w:w="0" w:type="dxa"/>
            <w:left w:w="108" w:type="dxa"/>
            <w:bottom w:w="0" w:type="dxa"/>
            <w:right w:w="108" w:type="dxa"/>
          </w:tblCellMar>
        </w:tblPrEx>
        <w:trPr>
          <w:trHeight w:val="2823"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食品卫生</w:t>
            </w:r>
          </w:p>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基础知识</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1.了解食品卫生的基本要求</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2.掌握食品污染变质的各种原因及预防措施</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3.了解食品的保鲜和保藏的方法</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4.掌握食品添加剂的定义、种类及使用原则</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1.小组讨论家庭中食品储存的方法</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2.学生实践：了解餐饮企业食品基本的储存方法</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3.展示各种食品添加剂及使用不当的案例</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4.收集各种食品成份说明</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5.学生实践：朔料包装材料和容器的检验</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r>
      <w:tr>
        <w:tblPrEx>
          <w:tblCellMar>
            <w:top w:w="0" w:type="dxa"/>
            <w:left w:w="108" w:type="dxa"/>
            <w:bottom w:w="0" w:type="dxa"/>
            <w:right w:w="108" w:type="dxa"/>
          </w:tblCellMar>
        </w:tblPrEx>
        <w:trPr>
          <w:trHeight w:val="1603"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各类烹饪</w:t>
            </w:r>
          </w:p>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zh-CN" w:eastAsia="zh-CN" w:bidi="ar-SA"/>
              </w:rPr>
              <w:t>原料的卫生</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1.掌握主要烹饪原料（谷类、豆类及豆制品、蔬菜、畜禽肉、蛋类与奶类、水产品、果品）的卫生基本标准</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2.掌握防止烹饪原料腐败变质的主要方法</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1.展示、观察与鉴别受污染的食品</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2.分析食品的污染原因，探讨防止食品污染的措施</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r>
      <w:tr>
        <w:tblPrEx>
          <w:tblCellMar>
            <w:top w:w="0" w:type="dxa"/>
            <w:left w:w="108" w:type="dxa"/>
            <w:bottom w:w="0" w:type="dxa"/>
            <w:right w:w="108" w:type="dxa"/>
          </w:tblCellMar>
        </w:tblPrEx>
        <w:trPr>
          <w:trHeight w:val="1560"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zh-CN" w:eastAsia="zh-CN" w:bidi="ar-SA"/>
              </w:rPr>
            </w:pPr>
            <w:r>
              <w:rPr>
                <w:rFonts w:hint="eastAsia" w:ascii="仿宋_GB2312" w:hAnsi="仿宋_GB2312" w:eastAsia="仿宋_GB2312" w:cs="仿宋_GB2312"/>
                <w:kern w:val="2"/>
                <w:sz w:val="21"/>
                <w:szCs w:val="21"/>
                <w:lang w:val="zh-CN" w:eastAsia="zh-CN" w:bidi="ar-SA"/>
              </w:rPr>
              <w:t>预防食物中毒及常见饮食疾病</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1.了解常见饮食疾病</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2.掌握食物中毒的一般知识</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3.掌握食物中毒及常见饮食疾病的预防方法</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1.查找有关食物中毒的案例并分析中毒原因</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2.创设食物中毒场景，并学会处理</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3.通过体检了解与饮食相关疾病</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r>
      <w:tr>
        <w:tblPrEx>
          <w:tblCellMar>
            <w:top w:w="0" w:type="dxa"/>
            <w:left w:w="108" w:type="dxa"/>
            <w:bottom w:w="0" w:type="dxa"/>
            <w:right w:w="108" w:type="dxa"/>
          </w:tblCellMar>
        </w:tblPrEx>
        <w:trPr>
          <w:trHeight w:val="2598" w:hRule="atLeast"/>
        </w:trPr>
        <w:tc>
          <w:tcPr>
            <w:tcW w:w="8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15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zh-CN" w:eastAsia="zh-CN" w:bidi="ar-SA"/>
              </w:rPr>
              <w:t>食品卫生管理</w:t>
            </w:r>
          </w:p>
        </w:tc>
        <w:tc>
          <w:tcPr>
            <w:tcW w:w="37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1.了解《中华人们共和国食品卫生安全法》及其他与食品安全与卫生的相关法律法规的基本内容，在实践中严格遵照执行</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2.理解饮食卫生的重要意义</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3.了解餐饮企业的卫生要求</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4.餐饮从业人员职业道德</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5.食品储存、运输、销售过程的卫生要求</w:t>
            </w:r>
          </w:p>
        </w:tc>
        <w:tc>
          <w:tcPr>
            <w:tcW w:w="27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1.学生参观：了解食堂和餐饮企业各个环节的卫生要求及卫生制度</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zh-CN" w:eastAsia="zh-CN"/>
              </w:rPr>
            </w:pPr>
            <w:r>
              <w:rPr>
                <w:rFonts w:hint="eastAsia" w:ascii="仿宋_GB2312" w:hAnsi="仿宋_GB2312" w:eastAsia="仿宋_GB2312" w:cs="仿宋_GB2312"/>
                <w:kern w:val="0"/>
                <w:szCs w:val="21"/>
                <w:lang w:val="zh-CN" w:eastAsia="zh-CN"/>
              </w:rPr>
              <w:t>2.模拟制订饭店基本的卫生制度</w:t>
            </w:r>
          </w:p>
          <w:p>
            <w:pPr>
              <w:keepNext w:val="0"/>
              <w:keepLines w:val="0"/>
              <w:pageBreakBefore w:val="0"/>
              <w:widowControl w:val="0"/>
              <w:kinsoku/>
              <w:wordWrap/>
              <w:overflowPunct/>
              <w:topLinePunct w:val="0"/>
              <w:bidi w:val="0"/>
              <w:adjustRightInd w:val="0"/>
              <w:snapToGrid w:val="0"/>
              <w:spacing w:line="300" w:lineRule="exac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zh-CN" w:eastAsia="zh-CN"/>
              </w:rPr>
              <w:t>3.检查个人卫生是否符合标准</w:t>
            </w:r>
          </w:p>
        </w:tc>
        <w:tc>
          <w:tcPr>
            <w:tcW w:w="7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r>
    </w:tbl>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60" w:lineRule="atLeast"/>
        <w:ind w:left="0" w:right="0"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kinsoku/>
        <w:wordWrap/>
        <w:overflowPunct/>
        <w:topLinePunct w:val="0"/>
        <w:autoSpaceDN/>
        <w:bidi w:val="0"/>
        <w:spacing w:line="560" w:lineRule="atLeast"/>
        <w:ind w:left="0" w:right="0"/>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kinsoku/>
        <w:wordWrap/>
        <w:overflowPunct/>
        <w:topLinePunct w:val="0"/>
        <w:autoSpaceDN/>
        <w:bidi w:val="0"/>
        <w:snapToGrid w:val="0"/>
        <w:spacing w:line="580" w:lineRule="exact"/>
        <w:ind w:left="0" w:right="0" w:firstLine="3200" w:firstLineChars="1000"/>
        <w:rPr>
          <w:rFonts w:hint="eastAsia" w:ascii="仿宋" w:hAnsi="仿宋" w:eastAsia="仿宋" w:cs="仿宋"/>
          <w:sz w:val="32"/>
          <w:szCs w:val="32"/>
          <w:lang w:eastAsia="zh-CN"/>
        </w:rPr>
        <w:sectPr>
          <w:footerReference r:id="rId8" w:type="default"/>
          <w:pgSz w:w="11906" w:h="16839"/>
          <w:pgMar w:top="1431" w:right="1537" w:bottom="1784" w:left="1528" w:header="0" w:footer="1531" w:gutter="0"/>
          <w:pgNumType w:fmt="decimal"/>
          <w:cols w:space="720" w:num="1"/>
        </w:sectPr>
      </w:pPr>
    </w:p>
    <w:p>
      <w:pPr>
        <w:snapToGrid w:val="0"/>
        <w:spacing w:before="120" w:beforeLines="50" w:after="120" w:afterLines="50" w:line="580" w:lineRule="exact"/>
        <w:jc w:val="center"/>
        <w:rPr>
          <w:rFonts w:hint="eastAsia"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餐饮成本核算课程标准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91" w:name="_Toc13022"/>
      <w:bookmarkStart w:id="92" w:name="_Toc7609"/>
      <w:bookmarkStart w:id="93" w:name="_Toc190"/>
      <w:r>
        <w:rPr>
          <w:rFonts w:hint="eastAsia" w:ascii="楷体" w:hAnsi="楷体" w:eastAsia="楷体" w:cs="楷体"/>
          <w:sz w:val="32"/>
          <w:szCs w:val="32"/>
          <w:lang w:val="en-US" w:eastAsia="zh-CN"/>
        </w:rPr>
        <w:t>（一）课程性质与任务</w:t>
      </w:r>
      <w:bookmarkEnd w:id="91"/>
      <w:bookmarkEnd w:id="92"/>
      <w:bookmarkEnd w:id="93"/>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 w:hAnsi="仿宋" w:eastAsia="仿宋" w:cs="仿宋"/>
          <w:kern w:val="0"/>
          <w:sz w:val="32"/>
          <w:szCs w:val="32"/>
          <w:lang w:bidi="ar"/>
        </w:rPr>
      </w:pPr>
      <w:r>
        <w:rPr>
          <w:rFonts w:hint="eastAsia" w:ascii="仿宋" w:hAnsi="仿宋" w:eastAsia="仿宋" w:cs="仿宋"/>
          <w:kern w:val="0"/>
          <w:sz w:val="32"/>
          <w:szCs w:val="32"/>
          <w:lang w:bidi="ar"/>
        </w:rPr>
        <w:t>本课程是</w:t>
      </w:r>
      <w:r>
        <w:rPr>
          <w:rFonts w:hint="eastAsia" w:ascii="仿宋" w:hAnsi="仿宋" w:eastAsia="仿宋" w:cs="仿宋"/>
          <w:kern w:val="0"/>
          <w:sz w:val="32"/>
          <w:szCs w:val="32"/>
          <w:lang w:eastAsia="zh-CN" w:bidi="ar"/>
        </w:rPr>
        <w:t>中西面点</w:t>
      </w:r>
      <w:r>
        <w:rPr>
          <w:rFonts w:hint="eastAsia" w:ascii="仿宋" w:hAnsi="仿宋" w:eastAsia="仿宋" w:cs="仿宋"/>
          <w:kern w:val="0"/>
          <w:sz w:val="32"/>
          <w:szCs w:val="32"/>
          <w:lang w:bidi="ar"/>
        </w:rPr>
        <w:t>专业的一门专业基础课程。通过学习餐饮成本核算与控制、</w:t>
      </w:r>
      <w:r>
        <w:rPr>
          <w:rFonts w:hint="eastAsia" w:ascii="仿宋" w:hAnsi="仿宋" w:eastAsia="仿宋" w:cs="仿宋"/>
          <w:kern w:val="0"/>
          <w:sz w:val="32"/>
          <w:szCs w:val="32"/>
          <w:lang w:eastAsia="zh-CN" w:bidi="ar"/>
        </w:rPr>
        <w:t>饮食产品销售价格核定</w:t>
      </w:r>
      <w:r>
        <w:rPr>
          <w:rFonts w:hint="eastAsia" w:ascii="仿宋" w:hAnsi="仿宋" w:eastAsia="仿宋" w:cs="仿宋"/>
          <w:kern w:val="0"/>
          <w:sz w:val="32"/>
          <w:szCs w:val="32"/>
          <w:lang w:bidi="ar"/>
        </w:rPr>
        <w:t>等专业知识</w:t>
      </w:r>
      <w:r>
        <w:rPr>
          <w:rFonts w:hint="eastAsia" w:ascii="仿宋" w:hAnsi="仿宋" w:eastAsia="仿宋" w:cs="仿宋"/>
          <w:kern w:val="0"/>
          <w:sz w:val="32"/>
          <w:szCs w:val="32"/>
          <w:lang w:eastAsia="zh-CN" w:bidi="ar"/>
        </w:rPr>
        <w:t>，</w:t>
      </w:r>
      <w:r>
        <w:rPr>
          <w:rFonts w:hint="eastAsia" w:ascii="仿宋" w:hAnsi="仿宋" w:eastAsia="仿宋" w:cs="仿宋"/>
          <w:kern w:val="0"/>
          <w:sz w:val="32"/>
          <w:szCs w:val="32"/>
          <w:lang w:bidi="ar"/>
        </w:rPr>
        <w:t>使学生能够熟悉餐饮企</w:t>
      </w:r>
      <w:r>
        <w:rPr>
          <w:rFonts w:hint="eastAsia" w:ascii="仿宋" w:hAnsi="仿宋" w:eastAsia="仿宋" w:cs="仿宋"/>
          <w:kern w:val="0"/>
          <w:sz w:val="32"/>
          <w:szCs w:val="32"/>
          <w:lang w:eastAsia="zh-CN" w:bidi="ar"/>
        </w:rPr>
        <w:t>业成本管理的基本知识，熟悉菜单设计的基本方法，具有核算各项成本及饮食成本控制的能力，培养学生主人翁意识，提升学生从事餐饮生产与基层管理工作应具备的职业能力，为学生后续其他专业课程的学习打下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94" w:name="_Toc32477"/>
      <w:bookmarkStart w:id="95" w:name="_Toc32446"/>
      <w:bookmarkStart w:id="96" w:name="_Toc706"/>
      <w:r>
        <w:rPr>
          <w:rFonts w:hint="eastAsia" w:ascii="楷体" w:hAnsi="楷体" w:eastAsia="楷体" w:cs="楷体"/>
          <w:sz w:val="32"/>
          <w:szCs w:val="32"/>
          <w:lang w:val="en-US" w:eastAsia="zh-CN"/>
        </w:rPr>
        <w:t>（二）课程教学目标</w:t>
      </w:r>
      <w:bookmarkEnd w:id="94"/>
      <w:bookmarkEnd w:id="95"/>
      <w:bookmarkEnd w:id="96"/>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（2）具有良好的思想品德修养和职业道德素养；</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（3）具有严谨的学习态度，良好的学习习惯；</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（4）能够</w:t>
      </w:r>
      <w:r>
        <w:rPr>
          <w:rFonts w:hint="eastAsia" w:ascii="仿宋_GB2312" w:hAnsi="仿宋_GB2312" w:eastAsia="仿宋_GB2312" w:cs="仿宋_GB2312"/>
          <w:kern w:val="0"/>
          <w:sz w:val="32"/>
          <w:szCs w:val="32"/>
          <w:lang w:eastAsia="zh-CN" w:bidi="ar"/>
        </w:rPr>
        <w:t>养成严谨细致、实事求是的工作作风；</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（5）具有良好的</w:t>
      </w:r>
      <w:r>
        <w:rPr>
          <w:rFonts w:hint="eastAsia" w:ascii="仿宋_GB2312" w:hAnsi="仿宋_GB2312" w:eastAsia="仿宋_GB2312" w:cs="仿宋_GB2312"/>
          <w:kern w:val="0"/>
          <w:sz w:val="32"/>
          <w:szCs w:val="32"/>
          <w:lang w:eastAsia="zh-CN" w:bidi="ar"/>
        </w:rPr>
        <w:t>节约、</w:t>
      </w:r>
      <w:r>
        <w:rPr>
          <w:rFonts w:hint="eastAsia" w:ascii="仿宋_GB2312" w:hAnsi="仿宋_GB2312" w:eastAsia="仿宋_GB2312" w:cs="仿宋_GB2312"/>
          <w:kern w:val="0"/>
          <w:sz w:val="32"/>
          <w:szCs w:val="32"/>
          <w:lang w:bidi="ar"/>
        </w:rPr>
        <w:t>等职业意识；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（6）具有科学探索精神与创新意识。</w:t>
      </w:r>
    </w:p>
    <w:p>
      <w:pPr>
        <w:pStyle w:val="15"/>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（1）掌握各项基础数学知识在成本核算中的应用；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（2）掌握净料成本核算的方法；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（3）全面了解、领会和掌握生产环节的成本核算与控制方法；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（4）掌握价格的核算与制定方法；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（5）掌握各档次筵席菜单的制作要点；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（6）领会和掌握饮食成本控制和管理的方法。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sz w:val="32"/>
          <w:szCs w:val="32"/>
          <w:lang w:eastAsia="zh-CN" w:bidi="ar"/>
        </w:rPr>
        <w:t>能够灵活掌握饮食产品成本核算方法；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能够发掘影响餐饮企业利润的各种成本；</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w:t>
      </w:r>
      <w:r>
        <w:rPr>
          <w:rFonts w:hint="eastAsia" w:ascii="仿宋_GB2312" w:hAnsi="仿宋_GB2312" w:eastAsia="仿宋_GB2312" w:cs="仿宋_GB2312"/>
          <w:sz w:val="32"/>
          <w:szCs w:val="32"/>
          <w:lang w:eastAsia="zh-CN" w:bidi="ar"/>
        </w:rPr>
        <w:t>熟练核算利率并应用到生产实践中</w:t>
      </w:r>
      <w:r>
        <w:rPr>
          <w:rFonts w:hint="eastAsia" w:ascii="仿宋_GB2312" w:hAnsi="仿宋_GB2312" w:eastAsia="仿宋_GB2312" w:cs="仿宋_GB2312"/>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w:t>
      </w:r>
      <w:r>
        <w:rPr>
          <w:rFonts w:hint="eastAsia" w:ascii="仿宋_GB2312" w:hAnsi="仿宋_GB2312" w:eastAsia="仿宋_GB2312" w:cs="仿宋_GB2312"/>
          <w:sz w:val="32"/>
          <w:szCs w:val="32"/>
          <w:lang w:eastAsia="zh-CN" w:bidi="ar"/>
        </w:rPr>
        <w:t>制定饮食产品销售价格，分析餐饮成本中的价格差异额，并能提出成本费用控制的合理方法</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w:t>
      </w:r>
      <w:r>
        <w:rPr>
          <w:rFonts w:hint="eastAsia" w:ascii="仿宋_GB2312" w:hAnsi="仿宋_GB2312" w:eastAsia="仿宋_GB2312" w:cs="仿宋_GB2312"/>
          <w:kern w:val="0"/>
          <w:sz w:val="32"/>
          <w:szCs w:val="32"/>
          <w:lang w:val="en-US" w:eastAsia="zh-CN" w:bidi="ar"/>
        </w:rPr>
        <w:t>能够根据要求设计各种档次的筵席菜单</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（6）</w:t>
      </w:r>
      <w:r>
        <w:rPr>
          <w:rFonts w:hint="eastAsia" w:ascii="仿宋_GB2312" w:hAnsi="仿宋_GB2312" w:eastAsia="仿宋_GB2312" w:cs="仿宋_GB2312"/>
          <w:sz w:val="32"/>
          <w:szCs w:val="32"/>
          <w:lang w:eastAsia="zh-CN" w:bidi="ar"/>
        </w:rPr>
        <w:t>能够</w:t>
      </w:r>
      <w:r>
        <w:rPr>
          <w:rFonts w:hint="eastAsia" w:ascii="仿宋_GB2312" w:hAnsi="仿宋_GB2312" w:eastAsia="仿宋_GB2312" w:cs="仿宋_GB2312"/>
          <w:sz w:val="32"/>
          <w:szCs w:val="32"/>
          <w:lang w:bidi="ar"/>
        </w:rPr>
        <w:t>掌握餐饮工作流程中各个环节餐饮成本控制的关键点，</w:t>
      </w:r>
      <w:r>
        <w:rPr>
          <w:rFonts w:hint="eastAsia" w:ascii="仿宋_GB2312" w:hAnsi="仿宋_GB2312" w:eastAsia="仿宋_GB2312" w:cs="仿宋_GB2312"/>
          <w:sz w:val="32"/>
          <w:szCs w:val="32"/>
          <w:lang w:eastAsia="zh-CN" w:bidi="ar"/>
        </w:rPr>
        <w:t>并</w:t>
      </w:r>
      <w:r>
        <w:rPr>
          <w:rFonts w:hint="eastAsia" w:ascii="仿宋_GB2312" w:hAnsi="仿宋_GB2312" w:eastAsia="仿宋_GB2312" w:cs="仿宋_GB2312"/>
          <w:sz w:val="32"/>
          <w:szCs w:val="32"/>
          <w:lang w:bidi="ar"/>
        </w:rPr>
        <w:t>有针对性地实施成本控制。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97" w:name="_Toc15231"/>
      <w:bookmarkStart w:id="98" w:name="_Toc27243"/>
      <w:bookmarkStart w:id="99" w:name="_Toc983"/>
      <w:r>
        <w:rPr>
          <w:rFonts w:hint="eastAsia" w:ascii="楷体" w:hAnsi="楷体" w:eastAsia="楷体" w:cs="楷体"/>
          <w:sz w:val="32"/>
          <w:szCs w:val="32"/>
          <w:lang w:val="en-US" w:eastAsia="zh-CN"/>
        </w:rPr>
        <w:t>（三）参考学时</w:t>
      </w:r>
      <w:bookmarkEnd w:id="97"/>
      <w:bookmarkEnd w:id="98"/>
      <w:bookmarkEnd w:id="99"/>
    </w:p>
    <w:p>
      <w:pPr>
        <w:keepNext w:val="0"/>
        <w:keepLines w:val="0"/>
        <w:pageBreakBefore w:val="0"/>
        <w:widowControl w:val="0"/>
        <w:kinsoku/>
        <w:wordWrap/>
        <w:overflowPunct/>
        <w:topLinePunct w:val="0"/>
        <w:autoSpaceDE w:val="0"/>
        <w:autoSpaceDN/>
        <w:bidi w:val="0"/>
        <w:adjustRightInd w:val="0"/>
        <w:snapToGrid w:val="0"/>
        <w:spacing w:line="560" w:lineRule="exact"/>
        <w:ind w:firstLine="960" w:firstLineChars="300"/>
        <w:textAlignment w:val="baseline"/>
        <w:outlineLvl w:val="2"/>
        <w:rPr>
          <w:rFonts w:ascii="仿宋" w:hAnsi="仿宋" w:eastAsia="仿宋" w:cs="仿宋"/>
          <w:sz w:val="28"/>
          <w:szCs w:val="28"/>
        </w:rPr>
      </w:pPr>
      <w:r>
        <w:rPr>
          <w:rFonts w:hint="eastAsia" w:ascii="仿宋_GB2312" w:hAnsi="仿宋_GB2312" w:eastAsia="仿宋_GB2312" w:cs="仿宋_GB2312"/>
          <w:sz w:val="32"/>
          <w:szCs w:val="32"/>
          <w:lang w:val="en-US" w:eastAsia="zh-CN" w:bidi="ar"/>
        </w:rPr>
        <w:t>18</w:t>
      </w:r>
      <w:r>
        <w:rPr>
          <w:rFonts w:hint="eastAsia" w:ascii="仿宋_GB2312" w:hAnsi="仿宋_GB2312" w:eastAsia="仿宋_GB2312" w:cs="仿宋_GB2312"/>
          <w:sz w:val="32"/>
          <w:szCs w:val="32"/>
          <w:lang w:bidi="ar"/>
        </w:rPr>
        <w:t>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00" w:name="_Toc20521"/>
      <w:bookmarkStart w:id="101" w:name="_Toc17219"/>
      <w:r>
        <w:rPr>
          <w:rFonts w:hint="eastAsia" w:ascii="楷体" w:hAnsi="楷体" w:eastAsia="楷体" w:cs="楷体"/>
          <w:sz w:val="32"/>
          <w:szCs w:val="32"/>
          <w:lang w:val="en-US" w:eastAsia="zh-CN"/>
        </w:rPr>
        <w:t>（四）课程学分</w:t>
      </w:r>
      <w:bookmarkEnd w:id="100"/>
      <w:bookmarkEnd w:id="101"/>
    </w:p>
    <w:p>
      <w:pPr>
        <w:keepNext w:val="0"/>
        <w:keepLines w:val="0"/>
        <w:pageBreakBefore w:val="0"/>
        <w:widowControl w:val="0"/>
        <w:kinsoku/>
        <w:wordWrap/>
        <w:overflowPunct/>
        <w:topLinePunct w:val="0"/>
        <w:autoSpaceDE w:val="0"/>
        <w:autoSpaceDN/>
        <w:bidi w:val="0"/>
        <w:adjustRightInd w:val="0"/>
        <w:snapToGrid w:val="0"/>
        <w:spacing w:line="560" w:lineRule="exact"/>
        <w:ind w:firstLine="960" w:firstLineChars="300"/>
        <w:textAlignment w:val="baseline"/>
        <w:outlineLvl w:val="2"/>
        <w:rPr>
          <w:rFonts w:ascii="仿宋" w:hAnsi="仿宋" w:eastAsia="仿宋" w:cs="仿宋"/>
          <w:sz w:val="28"/>
          <w:szCs w:val="28"/>
        </w:rPr>
      </w:pP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bidi="ar"/>
        </w:rPr>
        <w:t>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tbl>
      <w:tblPr>
        <w:tblStyle w:val="16"/>
        <w:tblW w:w="51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533"/>
        <w:gridCol w:w="2695"/>
        <w:gridCol w:w="318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黑体" w:hAnsi="黑体" w:eastAsia="黑体" w:cs="黑体"/>
                <w:kern w:val="0"/>
                <w:sz w:val="21"/>
                <w:szCs w:val="21"/>
              </w:rPr>
            </w:pPr>
            <w:r>
              <w:rPr>
                <w:rFonts w:hint="eastAsia" w:ascii="黑体" w:hAnsi="黑体" w:eastAsia="黑体" w:cs="黑体"/>
                <w:kern w:val="0"/>
                <w:sz w:val="21"/>
                <w:szCs w:val="21"/>
                <w:lang w:bidi="ar"/>
              </w:rPr>
              <w:t>序号</w:t>
            </w:r>
          </w:p>
        </w:tc>
        <w:tc>
          <w:tcPr>
            <w:tcW w:w="82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45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71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60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82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项目一</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餐饮计算基础</w:t>
            </w:r>
          </w:p>
        </w:tc>
        <w:tc>
          <w:tcPr>
            <w:tcW w:w="1452" w:type="pct"/>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通过本项目学习，掌握常见的度量衡的单位及换算，能对常见食物进行营养成分分析，能够在餐饮设计中灵活运用几何图形拼接与分割以及面积计算</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p>
        </w:tc>
        <w:tc>
          <w:tcPr>
            <w:tcW w:w="1716" w:type="pct"/>
            <w:tcBorders>
              <w:top w:val="single" w:color="auto" w:sz="4" w:space="0"/>
              <w:left w:val="nil"/>
              <w:bottom w:val="single" w:color="auto" w:sz="4" w:space="0"/>
              <w:right w:val="single" w:color="auto" w:sz="4" w:space="0"/>
            </w:tcBorders>
            <w:noWrap w:val="0"/>
            <w:vAlign w:val="top"/>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1.利用多媒体教学手段创建学习情境，让学生理解数量单位和图形设计在食品制作中的作用；</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2.分发任务单，让学生按照要求计算并填写食谱热量情况，并分析其合理性；</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3.每小组在教师指导下针对青少年制定食谱。</w:t>
            </w:r>
          </w:p>
        </w:tc>
        <w:tc>
          <w:tcPr>
            <w:tcW w:w="60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82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餐饮成本核算</w:t>
            </w:r>
          </w:p>
        </w:tc>
        <w:tc>
          <w:tcPr>
            <w:tcW w:w="1452" w:type="pct"/>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通过本项目学习，能够</w:t>
            </w:r>
            <w:r>
              <w:rPr>
                <w:rFonts w:hint="default" w:ascii="仿宋_GB2312" w:hAnsi="仿宋_GB2312" w:eastAsia="仿宋_GB2312" w:cs="仿宋_GB2312"/>
                <w:kern w:val="0"/>
                <w:sz w:val="21"/>
                <w:szCs w:val="21"/>
                <w:lang w:val="en-US" w:eastAsia="zh-CN"/>
              </w:rPr>
              <w:t>灵活运用净料率的计算方法准确算出净料率毛料重量、净料重量。</w:t>
            </w:r>
            <w:r>
              <w:rPr>
                <w:rFonts w:hint="eastAsia" w:ascii="仿宋_GB2312" w:hAnsi="仿宋_GB2312" w:eastAsia="仿宋_GB2312" w:cs="仿宋_GB2312"/>
                <w:kern w:val="0"/>
                <w:sz w:val="21"/>
                <w:szCs w:val="21"/>
                <w:lang w:val="en-US" w:eastAsia="zh-CN"/>
              </w:rPr>
              <w:t>掌握</w:t>
            </w:r>
            <w:r>
              <w:rPr>
                <w:rFonts w:hint="default" w:ascii="仿宋_GB2312" w:hAnsi="仿宋_GB2312" w:eastAsia="仿宋_GB2312" w:cs="仿宋_GB2312"/>
                <w:kern w:val="0"/>
                <w:sz w:val="21"/>
                <w:szCs w:val="21"/>
                <w:lang w:val="en-US" w:eastAsia="zh-CN"/>
              </w:rPr>
              <w:t>主配料调味品成本核算的基本方法，了解饮食行业成本核算的各种方法</w:t>
            </w:r>
            <w:r>
              <w:rPr>
                <w:rFonts w:hint="eastAsia" w:ascii="仿宋_GB2312" w:hAnsi="仿宋_GB2312" w:eastAsia="仿宋_GB2312" w:cs="仿宋_GB2312"/>
                <w:kern w:val="0"/>
                <w:sz w:val="21"/>
                <w:szCs w:val="21"/>
                <w:lang w:val="en-US" w:eastAsia="zh-CN"/>
              </w:rPr>
              <w:t>，</w:t>
            </w:r>
            <w:r>
              <w:rPr>
                <w:rFonts w:hint="default" w:ascii="仿宋_GB2312" w:hAnsi="仿宋_GB2312" w:eastAsia="仿宋_GB2312" w:cs="仿宋_GB2312"/>
                <w:kern w:val="0"/>
                <w:sz w:val="21"/>
                <w:szCs w:val="21"/>
                <w:lang w:val="en-US" w:eastAsia="zh-CN"/>
              </w:rPr>
              <w:t>能运用成本系数计算产品成本</w:t>
            </w:r>
            <w:r>
              <w:rPr>
                <w:rFonts w:hint="eastAsia" w:ascii="仿宋_GB2312" w:hAnsi="仿宋_GB2312" w:eastAsia="仿宋_GB2312" w:cs="仿宋_GB2312"/>
                <w:kern w:val="0"/>
                <w:sz w:val="21"/>
                <w:szCs w:val="21"/>
                <w:lang w:val="en-US" w:eastAsia="zh-CN"/>
              </w:rPr>
              <w:t>。</w:t>
            </w:r>
          </w:p>
        </w:tc>
        <w:tc>
          <w:tcPr>
            <w:tcW w:w="1716" w:type="pct"/>
            <w:tcBorders>
              <w:top w:val="single" w:color="auto" w:sz="4" w:space="0"/>
              <w:left w:val="nil"/>
              <w:bottom w:val="single" w:color="auto" w:sz="4" w:space="0"/>
              <w:right w:val="single" w:color="auto" w:sz="4" w:space="0"/>
            </w:tcBorders>
            <w:noWrap w:val="0"/>
            <w:vAlign w:val="top"/>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1.利用多媒体教学手段创建学习情境，让学生能根据具体原料算出净料率；</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2.分发任务单，让学生按照要求计算菜品中各原料的成本；</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3.每小组在教师指导下对菜品提出成本核算和节约成本的方法。</w:t>
            </w:r>
          </w:p>
        </w:tc>
        <w:tc>
          <w:tcPr>
            <w:tcW w:w="60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82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饮食产品的销售价格</w:t>
            </w:r>
          </w:p>
        </w:tc>
        <w:tc>
          <w:tcPr>
            <w:tcW w:w="1452" w:type="pct"/>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通过本项目学习，</w:t>
            </w:r>
            <w:r>
              <w:rPr>
                <w:rFonts w:hint="default" w:ascii="仿宋_GB2312" w:hAnsi="仿宋_GB2312" w:eastAsia="仿宋_GB2312" w:cs="仿宋_GB2312"/>
                <w:kern w:val="0"/>
                <w:sz w:val="21"/>
                <w:szCs w:val="21"/>
                <w:lang w:val="en-US" w:eastAsia="zh-CN"/>
              </w:rPr>
              <w:t>熟练掌握成本毛利率和销售毛利率的计算方法，熟练掌握饮食产品销售价格的计算方法</w:t>
            </w:r>
            <w:r>
              <w:rPr>
                <w:rFonts w:hint="eastAsia" w:ascii="仿宋_GB2312" w:hAnsi="仿宋_GB2312" w:eastAsia="仿宋_GB2312" w:cs="仿宋_GB2312"/>
                <w:kern w:val="0"/>
                <w:sz w:val="21"/>
                <w:szCs w:val="21"/>
                <w:lang w:val="en-US" w:eastAsia="zh-CN"/>
              </w:rPr>
              <w:t>，</w:t>
            </w:r>
            <w:r>
              <w:rPr>
                <w:rFonts w:hint="default" w:ascii="仿宋_GB2312" w:hAnsi="仿宋_GB2312" w:eastAsia="仿宋_GB2312" w:cs="仿宋_GB2312"/>
                <w:kern w:val="0"/>
                <w:sz w:val="21"/>
                <w:szCs w:val="21"/>
                <w:lang w:val="en-US" w:eastAsia="zh-CN"/>
              </w:rPr>
              <w:t>并</w:t>
            </w:r>
            <w:r>
              <w:rPr>
                <w:rFonts w:hint="eastAsia" w:ascii="仿宋_GB2312" w:hAnsi="仿宋_GB2312" w:eastAsia="仿宋_GB2312" w:cs="仿宋_GB2312"/>
                <w:kern w:val="0"/>
                <w:sz w:val="21"/>
                <w:szCs w:val="21"/>
                <w:lang w:val="en-US" w:eastAsia="zh-CN"/>
              </w:rPr>
              <w:t>能够</w:t>
            </w:r>
            <w:r>
              <w:rPr>
                <w:rFonts w:hint="default" w:ascii="仿宋_GB2312" w:hAnsi="仿宋_GB2312" w:eastAsia="仿宋_GB2312" w:cs="仿宋_GB2312"/>
                <w:kern w:val="0"/>
                <w:sz w:val="21"/>
                <w:szCs w:val="21"/>
                <w:lang w:val="en-US" w:eastAsia="zh-CN"/>
              </w:rPr>
              <w:t>将其运用到实际</w:t>
            </w:r>
            <w:r>
              <w:rPr>
                <w:rFonts w:hint="eastAsia" w:ascii="仿宋_GB2312" w:hAnsi="仿宋_GB2312" w:eastAsia="仿宋_GB2312" w:cs="仿宋_GB2312"/>
                <w:kern w:val="0"/>
                <w:sz w:val="21"/>
                <w:szCs w:val="21"/>
                <w:lang w:val="en-US" w:eastAsia="zh-CN"/>
              </w:rPr>
              <w:t>生产</w:t>
            </w:r>
            <w:r>
              <w:rPr>
                <w:rFonts w:hint="default" w:ascii="仿宋_GB2312" w:hAnsi="仿宋_GB2312" w:eastAsia="仿宋_GB2312" w:cs="仿宋_GB2312"/>
                <w:kern w:val="0"/>
                <w:sz w:val="21"/>
                <w:szCs w:val="21"/>
                <w:lang w:val="en-US" w:eastAsia="zh-CN"/>
              </w:rPr>
              <w:t>中去。</w:t>
            </w:r>
          </w:p>
        </w:tc>
        <w:tc>
          <w:tcPr>
            <w:tcW w:w="1716" w:type="pct"/>
            <w:tcBorders>
              <w:top w:val="single" w:color="auto" w:sz="4" w:space="0"/>
              <w:left w:val="nil"/>
              <w:bottom w:val="single" w:color="auto" w:sz="4" w:space="0"/>
              <w:right w:val="single" w:color="auto" w:sz="4" w:space="0"/>
            </w:tcBorders>
            <w:noWrap w:val="0"/>
            <w:vAlign w:val="top"/>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1.利用多媒体教学手段创建学习情境，学生掌握毛利率的确定和产品定价原则；</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2.分发任务单，让学生按照要求核算正确毛利率；</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3.每小组在教师指导下对菜品制定合理、有竞争力的价格。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82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项目四</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宴会菜单设计</w:t>
            </w:r>
          </w:p>
        </w:tc>
        <w:tc>
          <w:tcPr>
            <w:tcW w:w="1452" w:type="pct"/>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通过本项目学习，</w:t>
            </w:r>
            <w:r>
              <w:rPr>
                <w:rFonts w:hint="default" w:ascii="仿宋_GB2312" w:hAnsi="仿宋_GB2312" w:eastAsia="仿宋_GB2312" w:cs="仿宋_GB2312"/>
                <w:kern w:val="0"/>
                <w:sz w:val="21"/>
                <w:szCs w:val="21"/>
                <w:lang w:val="en-US" w:eastAsia="zh-CN"/>
              </w:rPr>
              <w:t>掌握配菜的基本知识、基本原则成本计算方法。</w:t>
            </w:r>
            <w:r>
              <w:rPr>
                <w:rFonts w:hint="eastAsia" w:ascii="仿宋_GB2312" w:hAnsi="仿宋_GB2312" w:eastAsia="仿宋_GB2312" w:cs="仿宋_GB2312"/>
                <w:kern w:val="0"/>
                <w:sz w:val="21"/>
                <w:szCs w:val="21"/>
                <w:lang w:val="en-US" w:eastAsia="zh-CN"/>
              </w:rPr>
              <w:t>能够正确进行</w:t>
            </w:r>
            <w:r>
              <w:rPr>
                <w:rFonts w:hint="default" w:ascii="仿宋_GB2312" w:hAnsi="仿宋_GB2312" w:eastAsia="仿宋_GB2312" w:cs="仿宋_GB2312"/>
                <w:kern w:val="0"/>
                <w:sz w:val="21"/>
                <w:szCs w:val="21"/>
                <w:lang w:val="en-US" w:eastAsia="zh-CN"/>
              </w:rPr>
              <w:t>席菜原料的选择及成本计算</w:t>
            </w:r>
            <w:r>
              <w:rPr>
                <w:rFonts w:hint="eastAsia" w:ascii="仿宋_GB2312" w:hAnsi="仿宋_GB2312" w:eastAsia="仿宋_GB2312" w:cs="仿宋_GB2312"/>
                <w:kern w:val="0"/>
                <w:sz w:val="21"/>
                <w:szCs w:val="21"/>
                <w:lang w:val="en-US" w:eastAsia="zh-CN"/>
              </w:rPr>
              <w:t>并</w:t>
            </w:r>
            <w:r>
              <w:rPr>
                <w:rFonts w:hint="default" w:ascii="仿宋_GB2312" w:hAnsi="仿宋_GB2312" w:eastAsia="仿宋_GB2312" w:cs="仿宋_GB2312"/>
                <w:kern w:val="0"/>
                <w:sz w:val="21"/>
                <w:szCs w:val="21"/>
                <w:lang w:val="en-US" w:eastAsia="zh-CN"/>
              </w:rPr>
              <w:t>会菜单的</w:t>
            </w:r>
            <w:r>
              <w:rPr>
                <w:rFonts w:hint="eastAsia" w:ascii="仿宋_GB2312" w:hAnsi="仿宋_GB2312" w:eastAsia="仿宋_GB2312" w:cs="仿宋_GB2312"/>
                <w:kern w:val="0"/>
                <w:sz w:val="21"/>
                <w:szCs w:val="21"/>
                <w:lang w:val="en-US" w:eastAsia="zh-CN"/>
              </w:rPr>
              <w:t>设计</w:t>
            </w:r>
            <w:r>
              <w:rPr>
                <w:rFonts w:hint="default" w:ascii="仿宋_GB2312" w:hAnsi="仿宋_GB2312" w:eastAsia="仿宋_GB2312" w:cs="仿宋_GB2312"/>
                <w:kern w:val="0"/>
                <w:sz w:val="21"/>
                <w:szCs w:val="21"/>
                <w:lang w:val="en-US" w:eastAsia="zh-CN"/>
              </w:rPr>
              <w:t>布局及成本核算</w:t>
            </w:r>
            <w:r>
              <w:rPr>
                <w:rFonts w:hint="eastAsia" w:ascii="仿宋_GB2312" w:hAnsi="仿宋_GB2312" w:eastAsia="仿宋_GB2312" w:cs="仿宋_GB2312"/>
                <w:kern w:val="0"/>
                <w:sz w:val="21"/>
                <w:szCs w:val="21"/>
                <w:lang w:val="en-US" w:eastAsia="zh-CN"/>
              </w:rPr>
              <w:t>。</w:t>
            </w:r>
          </w:p>
        </w:tc>
        <w:tc>
          <w:tcPr>
            <w:tcW w:w="1716" w:type="pct"/>
            <w:tcBorders>
              <w:top w:val="single" w:color="auto" w:sz="4" w:space="0"/>
              <w:left w:val="nil"/>
              <w:bottom w:val="single" w:color="auto" w:sz="4" w:space="0"/>
              <w:right w:val="single" w:color="auto" w:sz="4" w:space="0"/>
            </w:tcBorders>
            <w:noWrap w:val="0"/>
            <w:vAlign w:val="top"/>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1.利用多媒体教学手段创建学习情境，让学生分析不同风格和档次的筵席菜单，并提出改进意见；</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2.分发任务单，让学生按照筵席菜品组合填写菜品的搭配；并设计一款筵席菜单。</w:t>
            </w:r>
          </w:p>
        </w:tc>
        <w:tc>
          <w:tcPr>
            <w:tcW w:w="606"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97"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82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项目五</w:t>
            </w: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餐饮成本费用的管理</w:t>
            </w:r>
          </w:p>
        </w:tc>
        <w:tc>
          <w:tcPr>
            <w:tcW w:w="1452" w:type="pct"/>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通过本项目学习，认识餐饮成本费用控制的意义，掌握饮成本日常控制的方法，能够运用毛利率和成本毛利率的计算方法解决实际问题。</w:t>
            </w:r>
          </w:p>
        </w:tc>
        <w:tc>
          <w:tcPr>
            <w:tcW w:w="1716" w:type="pct"/>
            <w:tcBorders>
              <w:top w:val="single" w:color="auto" w:sz="4" w:space="0"/>
              <w:left w:val="nil"/>
              <w:bottom w:val="single" w:color="auto" w:sz="4" w:space="0"/>
              <w:right w:val="single" w:color="auto" w:sz="4" w:space="0"/>
            </w:tcBorders>
            <w:noWrap w:val="0"/>
            <w:vAlign w:val="top"/>
          </w:tcPr>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1.利用多媒体教学手段创建学习情境，让学生认识到成本费用控制的意义与方法；</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2.分发任务单，让学生分析某家餐厅经营现状中各项费用的合理性；</w:t>
            </w:r>
          </w:p>
          <w:p>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3.每小组在教师指导下提出对某家餐厅经营中成本费用控制改进的措施。</w:t>
            </w:r>
          </w:p>
        </w:tc>
        <w:tc>
          <w:tcPr>
            <w:tcW w:w="606"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w:t>
      </w:r>
      <w:r>
        <w:rPr>
          <w:rFonts w:hint="eastAsia" w:ascii="仿宋_GB2312" w:hAnsi="仿宋_GB2312" w:eastAsia="仿宋_GB2312" w:cs="仿宋_GB2312"/>
          <w:sz w:val="32"/>
          <w:szCs w:val="32"/>
          <w:lang w:eastAsia="zh-CN" w:bidi="ar"/>
        </w:rPr>
        <w:t>餐饮</w:t>
      </w:r>
      <w:r>
        <w:rPr>
          <w:rFonts w:hint="eastAsia" w:ascii="仿宋_GB2312" w:hAnsi="仿宋_GB2312" w:eastAsia="仿宋_GB2312" w:cs="仿宋_GB2312"/>
          <w:sz w:val="32"/>
          <w:szCs w:val="32"/>
          <w:lang w:bidi="ar"/>
        </w:rPr>
        <w:t>从业人员职业道德意识，将立德树人贯穿于课程实施全过程。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（2）课程在识记的基础上，掌握有关概念、原理、方法以及之间的区别与联系。</w:t>
      </w:r>
      <w:r>
        <w:rPr>
          <w:rFonts w:hint="eastAsia" w:ascii="仿宋_GB2312" w:hAnsi="仿宋_GB2312" w:eastAsia="仿宋_GB2312" w:cs="仿宋_GB2312"/>
          <w:sz w:val="32"/>
          <w:szCs w:val="32"/>
          <w:lang w:eastAsia="zh-CN" w:bidi="ar"/>
        </w:rPr>
        <w:t>让学生</w:t>
      </w:r>
      <w:r>
        <w:rPr>
          <w:rFonts w:hint="eastAsia" w:ascii="仿宋_GB2312" w:hAnsi="仿宋_GB2312" w:eastAsia="仿宋_GB2312" w:cs="仿宋_GB2312"/>
          <w:sz w:val="32"/>
          <w:szCs w:val="32"/>
          <w:lang w:bidi="ar"/>
        </w:rPr>
        <w:t>在领会的基础上，</w:t>
      </w:r>
      <w:r>
        <w:rPr>
          <w:rFonts w:hint="eastAsia" w:ascii="仿宋_GB2312" w:hAnsi="仿宋_GB2312" w:eastAsia="仿宋_GB2312" w:cs="仿宋_GB2312"/>
          <w:sz w:val="32"/>
          <w:szCs w:val="32"/>
          <w:lang w:eastAsia="zh-CN" w:bidi="ar"/>
        </w:rPr>
        <w:t>学会</w:t>
      </w:r>
      <w:r>
        <w:rPr>
          <w:rFonts w:hint="eastAsia" w:ascii="仿宋_GB2312" w:hAnsi="仿宋_GB2312" w:eastAsia="仿宋_GB2312" w:cs="仿宋_GB2312"/>
          <w:sz w:val="32"/>
          <w:szCs w:val="32"/>
          <w:lang w:bidi="ar"/>
        </w:rPr>
        <w:t>简单应用，</w:t>
      </w:r>
      <w:r>
        <w:rPr>
          <w:rFonts w:hint="eastAsia" w:ascii="仿宋_GB2312" w:hAnsi="仿宋_GB2312" w:eastAsia="仿宋_GB2312" w:cs="仿宋_GB2312"/>
          <w:sz w:val="32"/>
          <w:szCs w:val="32"/>
          <w:lang w:eastAsia="zh-CN" w:bidi="ar"/>
        </w:rPr>
        <w:t>并能</w:t>
      </w:r>
      <w:r>
        <w:rPr>
          <w:rFonts w:hint="eastAsia" w:ascii="仿宋_GB2312" w:hAnsi="仿宋_GB2312" w:eastAsia="仿宋_GB2312" w:cs="仿宋_GB2312"/>
          <w:sz w:val="32"/>
          <w:szCs w:val="32"/>
          <w:lang w:bidi="ar"/>
        </w:rPr>
        <w:t>运用本课程规定的多个知识点，综合分析并解决比较复杂的实际问题。</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w:t>
      </w:r>
      <w:r>
        <w:rPr>
          <w:rFonts w:hint="eastAsia" w:ascii="仿宋_GB2312" w:hAnsi="仿宋_GB2312" w:eastAsia="仿宋_GB2312" w:cs="仿宋_GB2312"/>
          <w:sz w:val="32"/>
          <w:szCs w:val="32"/>
          <w:lang w:eastAsia="zh-CN" w:bidi="ar"/>
        </w:rPr>
        <w:t>经营实际相结合</w:t>
      </w:r>
      <w:r>
        <w:rPr>
          <w:rFonts w:hint="eastAsia" w:ascii="仿宋_GB2312" w:hAnsi="仿宋_GB2312" w:eastAsia="仿宋_GB2312" w:cs="仿宋_GB2312"/>
          <w:sz w:val="32"/>
          <w:szCs w:val="32"/>
          <w:lang w:bidi="ar"/>
        </w:rPr>
        <w:t>，力求简单实用。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提高教学效果。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（1）本课程为理论课程，教学在教室进行。</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bidi="ar"/>
        </w:rPr>
        <w:t>）充分发挥现代信息技术优势，开发符合教学要求的微课、多媒体课件、动画、资料文献等资源，形成网络教学资源库，实现教学资源和成果共享；充分、合理使用已开放的校外课程教学资源库，形成引进优质教学资源通畅渠道</w:t>
      </w:r>
      <w:r>
        <w:rPr>
          <w:rFonts w:hint="eastAsia" w:ascii="仿宋_GB2312" w:hAnsi="仿宋_GB2312" w:eastAsia="仿宋_GB2312" w:cs="仿宋_GB2312"/>
          <w:kern w:val="0"/>
          <w:sz w:val="32"/>
          <w:szCs w:val="32"/>
          <w:lang w:val="en-US"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4.教材选用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bidi="ar"/>
        </w:rPr>
        <w:t>）教材选用应按照《职业院校教材管理办法》中的要求，规范选用教材</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《餐饮成本核算》高等教育出版社 黄丹 何海兰</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教材应配备习题集等其他相关的教学资料。</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参考的教学资料</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《现代餐饮成本核算与控制》</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3200" w:firstLineChars="10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《餐饮业成本核算》</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3200" w:firstLineChars="10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《餐饮成本控制》</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学习的网站:</w:t>
      </w:r>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640" w:firstLineChars="200"/>
        <w:textAlignment w:val="baseline"/>
        <w:rPr>
          <w:rFonts w:hint="eastAsia" w:ascii="仿宋" w:hAnsi="仿宋" w:eastAsia="仿宋" w:cs="仿宋"/>
          <w:sz w:val="32"/>
          <w:szCs w:val="32"/>
          <w:lang w:val="en-US" w:eastAsia="zh-CN"/>
        </w:rPr>
        <w:sectPr>
          <w:pgSz w:w="11906" w:h="16839"/>
          <w:pgMar w:top="1431" w:right="1537" w:bottom="1784" w:left="1528" w:header="0" w:footer="1531" w:gutter="0"/>
          <w:pgNumType w:fmt="decimal"/>
          <w:cols w:space="720" w:num="1"/>
        </w:sectPr>
      </w:pPr>
      <w:r>
        <w:rPr>
          <w:rFonts w:hint="eastAsia" w:ascii="仿宋_GB2312" w:hAnsi="仿宋_GB2312" w:eastAsia="仿宋_GB2312" w:cs="仿宋_GB2312"/>
          <w:sz w:val="32"/>
          <w:szCs w:val="32"/>
          <w:lang w:bidi="ar"/>
        </w:rPr>
        <w:t>职业餐饮网 http://www.canyin168.com/glyy/cbkz</w:t>
      </w:r>
    </w:p>
    <w:p>
      <w:pPr>
        <w:snapToGrid w:val="0"/>
        <w:spacing w:before="120" w:beforeLines="50" w:after="120" w:afterLines="50" w:line="580" w:lineRule="exact"/>
        <w:jc w:val="center"/>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《厨政管理》课程标准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02" w:name="_Toc27950"/>
      <w:bookmarkStart w:id="103" w:name="_Toc2161"/>
      <w:bookmarkStart w:id="104" w:name="_Toc839"/>
      <w:r>
        <w:rPr>
          <w:rFonts w:hint="eastAsia" w:ascii="楷体" w:hAnsi="楷体" w:eastAsia="楷体" w:cs="楷体"/>
          <w:sz w:val="32"/>
          <w:szCs w:val="32"/>
          <w:lang w:val="en-US" w:eastAsia="zh-CN"/>
        </w:rPr>
        <w:t>（一）课程性质与任务</w:t>
      </w:r>
      <w:bookmarkEnd w:id="102"/>
      <w:bookmarkEnd w:id="103"/>
      <w:bookmarkEnd w:id="104"/>
    </w:p>
    <w:p>
      <w:pPr>
        <w:keepNext w:val="0"/>
        <w:keepLines w:val="0"/>
        <w:pageBreakBefore w:val="0"/>
        <w:widowControl w:val="0"/>
        <w:kinsoku/>
        <w:wordWrap/>
        <w:overflowPunct/>
        <w:topLinePunct w:val="0"/>
        <w:autoSpaceDN/>
        <w:bidi w:val="0"/>
        <w:spacing w:line="560" w:lineRule="exact"/>
        <w:ind w:right="89" w:firstLine="575"/>
        <w:rPr>
          <w:rFonts w:hint="default"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中西面点专业的一门专业基础课程。通过学习厨房组织构架、认识厨房设备、如何规范使用设备、原料管理等专业知识，使学生能够掌握厨房的运行规律、管理项目、管理方法；具备对厨房人员进行合理配置与分工的能力，熟练操作生产设施、设备、用具并进行简单维护保养的能力</w:t>
      </w:r>
      <w:r>
        <w:rPr>
          <w:rFonts w:ascii="仿宋" w:hAnsi="仿宋" w:eastAsia="仿宋" w:cs="仿宋"/>
          <w:spacing w:val="4"/>
          <w:sz w:val="28"/>
          <w:szCs w:val="28"/>
        </w:rPr>
        <w:t>；</w:t>
      </w:r>
      <w:r>
        <w:rPr>
          <w:rFonts w:hint="eastAsia" w:ascii="仿宋_GB2312" w:hAnsi="仿宋_GB2312" w:eastAsia="仿宋_GB2312" w:cs="仿宋_GB2312"/>
          <w:snapToGrid/>
          <w:color w:val="auto"/>
          <w:kern w:val="0"/>
          <w:sz w:val="32"/>
          <w:szCs w:val="32"/>
          <w:lang w:val="en-US" w:eastAsia="zh-CN" w:bidi="ar"/>
        </w:rPr>
        <w:t>能够发现和解决 厨房运营中出现的常见问题。本课程为岗位实习等课程的学习和职业发展奠定基础。并对学生职业规范、职业素养及双创能力的培养起到重要的支撑作用。培养学生的职业道德和工匠精神，提高学生综合素质和职业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05" w:name="_Toc4790"/>
      <w:bookmarkStart w:id="106" w:name="_Toc18706"/>
      <w:bookmarkStart w:id="107" w:name="_Toc5381"/>
      <w:r>
        <w:rPr>
          <w:rFonts w:hint="eastAsia" w:ascii="楷体" w:hAnsi="楷体" w:eastAsia="楷体" w:cs="楷体"/>
          <w:sz w:val="32"/>
          <w:szCs w:val="32"/>
          <w:lang w:val="en-US" w:eastAsia="zh-CN"/>
        </w:rPr>
        <w:t>（二）课程教学目标</w:t>
      </w:r>
      <w:bookmarkEnd w:id="105"/>
      <w:bookmarkEnd w:id="106"/>
      <w:bookmarkEnd w:id="107"/>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 了解厨房管理的基本概念及厨房管理模式、管理职能、组织 机构、岗位设置及岗位职责、厨房菜点营销常识和厨房智能化的发展过程等基本内容；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（2）了解厨房的设计、生产要求与工作任务，厨房人员配置及岗位职责等基础知识；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（3）掌握厨房生产管理中原料加工管理、开餐管理、配菜、烹调、冷菜、点心等各生产环节的关键质量控制点；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（4）掌握厨房中的设备性能和智能化设备的使用及维护方法；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（5）掌握厨房菜点生产质量标准和质量控制方法；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（6）掌握餐饮营销方法与策略、菜点数字化营销策略。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（1）具备对厨房人员进行合理配置与分工的能力；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（2）具备根据厨房中的设备性能，操作烹饪设施、设备及用具，进行简单维护保养的能力；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（3）具备运用厨房生产管理和成本控制知识进行生产组织和质量控制，对宴席面点、常见地方风味名点进行成本核算和成本控制的能力；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（4）具备对由原材料至成品的生产过程进行全方位管理的能力；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（6）能够从案例中寻找共性举一反三， 不断养成岗位要求需要的职业素养能力。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08" w:name="_Toc9243"/>
      <w:bookmarkStart w:id="109" w:name="_Toc19368"/>
      <w:bookmarkStart w:id="110" w:name="_Toc12541"/>
      <w:r>
        <w:rPr>
          <w:rFonts w:hint="eastAsia" w:ascii="楷体" w:hAnsi="楷体" w:eastAsia="楷体" w:cs="楷体"/>
          <w:sz w:val="32"/>
          <w:szCs w:val="32"/>
          <w:lang w:val="en-US" w:eastAsia="zh-CN"/>
        </w:rPr>
        <w:t>（三）参考学时</w:t>
      </w:r>
      <w:bookmarkEnd w:id="108"/>
      <w:bookmarkEnd w:id="109"/>
      <w:bookmarkEnd w:id="11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960" w:firstLineChars="300"/>
        <w:jc w:val="both"/>
        <w:textAlignment w:val="baseline"/>
        <w:outlineLvl w:val="2"/>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11" w:name="_Toc5102"/>
      <w:bookmarkStart w:id="112" w:name="_Toc12814"/>
      <w:bookmarkStart w:id="113" w:name="_Toc24637"/>
      <w:r>
        <w:rPr>
          <w:rFonts w:hint="eastAsia" w:ascii="楷体" w:hAnsi="楷体" w:eastAsia="楷体" w:cs="楷体"/>
          <w:sz w:val="32"/>
          <w:szCs w:val="32"/>
          <w:lang w:val="en-US" w:eastAsia="zh-CN"/>
        </w:rPr>
        <w:t>（四）课程学分</w:t>
      </w:r>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w:t>
      </w:r>
      <w:r>
        <w:rPr>
          <w:rFonts w:hint="eastAsia" w:ascii="楷体_GB2312" w:hAnsi="仿宋_GB2312" w:eastAsia="楷体_GB2312" w:cs="仿宋_GB2312"/>
          <w:sz w:val="32"/>
          <w:szCs w:val="32"/>
          <w:lang w:val="en-US" w:eastAsia="zh-CN"/>
        </w:rPr>
        <w:t>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tbl>
      <w:tblPr>
        <w:tblStyle w:val="23"/>
        <w:tblW w:w="92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319"/>
        <w:gridCol w:w="3220"/>
        <w:gridCol w:w="3035"/>
        <w:gridCol w:w="9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772"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80" w:lineRule="exact"/>
              <w:ind w:left="0" w:leftChars="0" w:right="0" w:rightChars="0"/>
              <w:jc w:val="center"/>
              <w:textAlignment w:val="baseline"/>
              <w:rPr>
                <w:rFonts w:ascii="黑体" w:hAnsi="黑体" w:eastAsia="黑体" w:cs="黑体"/>
                <w:sz w:val="21"/>
                <w:szCs w:val="21"/>
              </w:rPr>
            </w:pPr>
            <w:r>
              <w:rPr>
                <w:rFonts w:hint="eastAsia" w:ascii="黑体" w:hAnsi="黑体" w:eastAsia="黑体" w:cs="黑体"/>
                <w:b w:val="0"/>
                <w:bCs w:val="0"/>
                <w:color w:val="auto"/>
                <w:kern w:val="0"/>
                <w:sz w:val="21"/>
                <w:szCs w:val="21"/>
                <w:vertAlign w:val="baseline"/>
                <w:lang w:val="en-US" w:eastAsia="zh-CN" w:bidi="ar"/>
              </w:rPr>
              <w:t>序号</w:t>
            </w:r>
          </w:p>
        </w:tc>
        <w:tc>
          <w:tcPr>
            <w:tcW w:w="1319"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80" w:lineRule="exact"/>
              <w:ind w:left="0" w:leftChars="0" w:right="0" w:rightChars="0"/>
              <w:jc w:val="center"/>
              <w:textAlignment w:val="baseline"/>
              <w:rPr>
                <w:rFonts w:ascii="黑体" w:hAnsi="黑体" w:eastAsia="黑体" w:cs="黑体"/>
                <w:sz w:val="21"/>
                <w:szCs w:val="21"/>
              </w:rPr>
            </w:pPr>
            <w:r>
              <w:rPr>
                <w:rFonts w:hint="eastAsia" w:ascii="黑体" w:hAnsi="黑体" w:eastAsia="黑体" w:cs="黑体"/>
                <w:b w:val="0"/>
                <w:bCs w:val="0"/>
                <w:color w:val="auto"/>
                <w:kern w:val="0"/>
                <w:sz w:val="21"/>
                <w:szCs w:val="21"/>
                <w:vertAlign w:val="baseline"/>
                <w:lang w:val="en-US" w:eastAsia="zh-CN" w:bidi="ar"/>
              </w:rPr>
              <w:t>教学项目</w:t>
            </w:r>
          </w:p>
        </w:tc>
        <w:tc>
          <w:tcPr>
            <w:tcW w:w="3220"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80" w:lineRule="exact"/>
              <w:ind w:left="0" w:leftChars="0" w:right="0" w:rightChars="0"/>
              <w:jc w:val="center"/>
              <w:textAlignment w:val="baseline"/>
              <w:rPr>
                <w:rFonts w:ascii="黑体" w:hAnsi="黑体" w:eastAsia="黑体" w:cs="黑体"/>
                <w:sz w:val="21"/>
                <w:szCs w:val="21"/>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303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80" w:lineRule="exact"/>
              <w:ind w:left="0" w:leftChars="0" w:right="0" w:rightChars="0"/>
              <w:jc w:val="center"/>
              <w:textAlignment w:val="baseline"/>
              <w:rPr>
                <w:rFonts w:ascii="黑体" w:hAnsi="黑体" w:eastAsia="黑体" w:cs="黑体"/>
                <w:sz w:val="21"/>
                <w:szCs w:val="21"/>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940"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80" w:lineRule="exact"/>
              <w:ind w:left="0" w:leftChars="0" w:right="0" w:rightChars="0"/>
              <w:jc w:val="center"/>
              <w:textAlignment w:val="baseline"/>
              <w:rPr>
                <w:rFonts w:ascii="黑体" w:hAnsi="黑体" w:eastAsia="黑体" w:cs="黑体"/>
                <w:sz w:val="21"/>
                <w:szCs w:val="21"/>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val="en-US"/>
              </w:rPr>
              <w:t>1</w:t>
            </w:r>
          </w:p>
        </w:tc>
        <w:tc>
          <w:tcPr>
            <w:tcW w:w="1319"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eastAsia="zh-CN"/>
              </w:rPr>
              <w:t>项目一</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val="en-US" w:eastAsia="zh-CN"/>
              </w:rPr>
              <w:t>认知厨房管理</w:t>
            </w:r>
          </w:p>
        </w:tc>
        <w:tc>
          <w:tcPr>
            <w:tcW w:w="3220" w:type="dxa"/>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通过本项目学习了解厨房生产运作的特点、厨房的生产要求；熟悉厨房的管理任务、餐饮企业规定的餐饮生产各项任务指标；能够分析厨房组织机构和传统厨房组织机构的异同点，并对其先进性予以分析。</w:t>
            </w:r>
          </w:p>
        </w:tc>
        <w:tc>
          <w:tcPr>
            <w:tcW w:w="30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1.可采用参观厨房、视频赏析、案例分析、生产管理手册等形式，让学生了解厨房运作的特点、生产要求及管理任务，培养学生自主学习的能力。</w:t>
            </w:r>
          </w:p>
        </w:tc>
        <w:tc>
          <w:tcPr>
            <w:tcW w:w="940" w:type="dxa"/>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val="en-US"/>
              </w:rPr>
              <w:t>2</w:t>
            </w:r>
          </w:p>
        </w:tc>
        <w:tc>
          <w:tcPr>
            <w:tcW w:w="1319"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eastAsia="zh-CN"/>
              </w:rPr>
              <w:t>项目二</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val="en-US" w:eastAsia="zh-CN"/>
              </w:rPr>
              <w:t>厨房组织机构管理</w:t>
            </w:r>
          </w:p>
        </w:tc>
        <w:tc>
          <w:tcPr>
            <w:tcW w:w="3220" w:type="dxa"/>
            <w:vAlign w:val="center"/>
          </w:tcPr>
          <w:p>
            <w:pPr>
              <w:pStyle w:val="1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rightChars="0" w:firstLine="420" w:firstLineChars="200"/>
              <w:jc w:val="both"/>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通过本项目学习了解厨房的种类；了解厨房与相关部门的沟通联系；了解厨房与传统厨房组织机构设置的异同；熟悉厨房各部门的基本职能；掌握厨房组织机构设置的原则和方法；掌握厨房组织机构设置的注意事项；能说出厨房人员配置构成及不同岗位职责范围及能力要求。</w:t>
            </w:r>
          </w:p>
        </w:tc>
        <w:tc>
          <w:tcPr>
            <w:tcW w:w="3035" w:type="dxa"/>
            <w:vAlign w:val="center"/>
          </w:tcPr>
          <w:p>
            <w:pPr>
              <w:pStyle w:val="1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80" w:lineRule="exact"/>
              <w:ind w:right="0" w:rightChars="0"/>
              <w:jc w:val="left"/>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1.可采用微课视频、现 场连线，小组讨论等方式，进行厨房机构模拟设置，让学生了解厨房的种类、了解厨房与传统厨房组织机构设置的异同，培养学生发现问题、解 决问题的能力。</w:t>
            </w:r>
          </w:p>
        </w:tc>
        <w:tc>
          <w:tcPr>
            <w:tcW w:w="940" w:type="dxa"/>
            <w:vAlign w:val="center"/>
          </w:tcPr>
          <w:p>
            <w:pPr>
              <w:pStyle w:val="24"/>
              <w:keepNext w:val="0"/>
              <w:keepLines w:val="0"/>
              <w:pageBreakBefore w:val="0"/>
              <w:wordWrap/>
              <w:overflowPunct/>
              <w:topLinePunct w:val="0"/>
              <w:bidi w:val="0"/>
              <w:spacing w:line="38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rPr>
              <w:t>3</w:t>
            </w:r>
          </w:p>
        </w:tc>
        <w:tc>
          <w:tcPr>
            <w:tcW w:w="1319"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eastAsia="zh-CN"/>
              </w:rPr>
              <w:t>项目三</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厨房设备</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管理</w:t>
            </w:r>
          </w:p>
        </w:tc>
        <w:tc>
          <w:tcPr>
            <w:tcW w:w="3220" w:type="dxa"/>
            <w:vAlign w:val="top"/>
          </w:tcPr>
          <w:p>
            <w:pPr>
              <w:pStyle w:val="24"/>
              <w:keepNext w:val="0"/>
              <w:keepLines w:val="0"/>
              <w:pageBreakBefore w:val="0"/>
              <w:wordWrap/>
              <w:overflowPunct/>
              <w:topLinePunct w:val="0"/>
              <w:bidi w:val="0"/>
              <w:spacing w:line="380" w:lineRule="exact"/>
              <w:ind w:left="0" w:right="0" w:firstLine="420" w:firstLineChars="200"/>
              <w:jc w:val="both"/>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通过本项目学习了解厨房设备管理的概念、原则和意义；了解厨房加工设备、冷冻设备、冷藏设备的使用方法；熟悉厨房加热设备的使用方法；熟悉厨房餐具的使用管理和常用操作过程中的保养方法；掌握厨房设备管理的要求、原则及方法；掌握厨房设备安全管理的作用、方法和具体措施；能熟练操作烹饪设施、设备及用 具，会设施、设备的合理布局，并能够进行简单维护与保养；熟悉厨房设备故障进行预设和处理，能较熟练操作常用的厨房设备。</w:t>
            </w:r>
          </w:p>
        </w:tc>
        <w:tc>
          <w:tcPr>
            <w:tcW w:w="3035" w:type="dxa"/>
            <w:vAlign w:val="top"/>
          </w:tcPr>
          <w:p>
            <w:pPr>
              <w:pStyle w:val="1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right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1.可采用视频播放、图片展示、投屏等方式呈现厨房设备，培养学生的职业认同感；</w:t>
            </w:r>
          </w:p>
          <w:p>
            <w:pPr>
              <w:pStyle w:val="1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right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2.可采用小组讨论分享、教师演示</w:t>
            </w:r>
            <w:r>
              <w:rPr>
                <w:rFonts w:hint="eastAsia" w:ascii="仿宋_GB2312" w:hAnsi="仿宋_GB2312" w:eastAsia="仿宋_GB2312" w:cs="仿宋_GB2312"/>
                <w:color w:val="auto"/>
                <w:kern w:val="0"/>
                <w:sz w:val="21"/>
                <w:szCs w:val="21"/>
                <w:vertAlign w:val="baseline"/>
                <w:lang w:val="en-US" w:eastAsia="zh-CN" w:bidi="ar"/>
              </w:rPr>
              <w:t>、</w:t>
            </w:r>
            <w:r>
              <w:rPr>
                <w:rFonts w:hint="eastAsia" w:ascii="仿宋_GB2312" w:hAnsi="仿宋_GB2312" w:eastAsia="仿宋_GB2312" w:cs="仿宋_GB2312"/>
                <w:color w:val="auto"/>
                <w:kern w:val="0"/>
                <w:sz w:val="21"/>
                <w:szCs w:val="21"/>
                <w:vertAlign w:val="baseline"/>
                <w:lang w:val="en-US" w:bidi="ar"/>
              </w:rPr>
              <w:t>视频赏析、案例讲解等方式让学生列制厨房设备及功能明细表，检验学生对设备的熟悉情况；</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right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3.可采用参观实训室设施设备、观看厨房安全类视频，增强安全意识，培养具有安全责任意识</w:t>
            </w:r>
            <w:r>
              <w:rPr>
                <w:rFonts w:hint="eastAsia" w:ascii="仿宋_GB2312" w:hAnsi="仿宋_GB2312" w:eastAsia="仿宋_GB2312" w:cs="仿宋_GB2312"/>
                <w:color w:val="auto"/>
                <w:kern w:val="0"/>
                <w:sz w:val="21"/>
                <w:szCs w:val="21"/>
                <w:vertAlign w:val="baseline"/>
                <w:lang w:val="en-US" w:eastAsia="zh-CN" w:bidi="ar"/>
              </w:rPr>
              <w:t>和</w:t>
            </w:r>
            <w:r>
              <w:rPr>
                <w:rFonts w:hint="eastAsia" w:ascii="仿宋_GB2312" w:hAnsi="仿宋_GB2312" w:eastAsia="仿宋_GB2312" w:cs="仿宋_GB2312"/>
                <w:color w:val="auto"/>
                <w:kern w:val="0"/>
                <w:sz w:val="21"/>
                <w:szCs w:val="21"/>
                <w:vertAlign w:val="baseline"/>
                <w:lang w:val="en-US" w:bidi="ar"/>
              </w:rPr>
              <w:t>精益求精的工匠精神。</w:t>
            </w:r>
          </w:p>
        </w:tc>
        <w:tc>
          <w:tcPr>
            <w:tcW w:w="940" w:type="dxa"/>
            <w:vAlign w:val="top"/>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5"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4</w:t>
            </w:r>
          </w:p>
        </w:tc>
        <w:tc>
          <w:tcPr>
            <w:tcW w:w="1319"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r>
              <w:rPr>
                <w:rFonts w:hint="eastAsia" w:ascii="仿宋_GB2312" w:hAnsi="仿宋_GB2312" w:eastAsia="仿宋_GB2312" w:cs="仿宋_GB2312"/>
                <w:szCs w:val="21"/>
                <w:lang w:eastAsia="zh-CN"/>
              </w:rPr>
              <w:t>项目四</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厨房生产</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管理</w:t>
            </w:r>
          </w:p>
        </w:tc>
        <w:tc>
          <w:tcPr>
            <w:tcW w:w="3220" w:type="dxa"/>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both"/>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rightChars="0" w:firstLine="420" w:firstLineChars="200"/>
              <w:jc w:val="both"/>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通过本项目学习了解厨房生产管理知识；掌握厨房卫生安全管理及操作过程安全管理；能对原材料至成品的生产过程进行全方位管理。</w:t>
            </w:r>
          </w:p>
        </w:tc>
        <w:tc>
          <w:tcPr>
            <w:tcW w:w="3035" w:type="dxa"/>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rightChars="0"/>
              <w:jc w:val="left"/>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1.可采用微课视频、 案例讲解、画流程图等方式，展示厨房的生产管理过程，让学生掌握厨房生产管理知识，培养学生独立思考的能力；</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rightChars="0"/>
              <w:jc w:val="left"/>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2.可引用实际生产案例，采用游戏抢答、 视频连线、现场参观等方法，使学生掌握厨房的卫生安全管理及操作过程安全管理，培养学生具有安全责任意识。</w:t>
            </w:r>
          </w:p>
        </w:tc>
        <w:tc>
          <w:tcPr>
            <w:tcW w:w="940" w:type="dxa"/>
            <w:vAlign w:val="top"/>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8"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1319"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eastAsia="zh-CN"/>
              </w:rPr>
              <w:t>项目五</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厨房原料 管理</w:t>
            </w:r>
          </w:p>
        </w:tc>
        <w:tc>
          <w:tcPr>
            <w:tcW w:w="3220" w:type="dxa"/>
            <w:vAlign w:val="center"/>
          </w:tcPr>
          <w:p>
            <w:pPr>
              <w:pStyle w:val="24"/>
              <w:keepNext w:val="0"/>
              <w:keepLines w:val="0"/>
              <w:pageBreakBefore w:val="0"/>
              <w:wordWrap/>
              <w:overflowPunct/>
              <w:topLinePunct w:val="0"/>
              <w:bidi w:val="0"/>
              <w:spacing w:line="380" w:lineRule="exact"/>
              <w:ind w:left="0" w:right="0" w:firstLine="420" w:firstLineChars="200"/>
              <w:jc w:val="both"/>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通过本项目学习了解厨房原料管理的概念、目的和意义；了解营养卫生的基础知识，加工过程中能减少营养素损失；了解原料管理的各个环节的质量控制方法；掌握厨房在采购、运输、验货、入库贮存和配发五大环节中对管理人员的责任目标及具体要求。</w:t>
            </w:r>
          </w:p>
        </w:tc>
        <w:tc>
          <w:tcPr>
            <w:tcW w:w="3035" w:type="dxa"/>
            <w:vAlign w:val="top"/>
          </w:tcPr>
          <w:p>
            <w:pPr>
              <w:pStyle w:val="24"/>
              <w:keepNext w:val="0"/>
              <w:keepLines w:val="0"/>
              <w:pageBreakBefore w:val="0"/>
              <w:wordWrap/>
              <w:overflowPunct/>
              <w:topLinePunct w:val="0"/>
              <w:bidi w:val="0"/>
              <w:spacing w:line="380" w:lineRule="exact"/>
              <w:ind w:right="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1.可采用小组讨论、有奖竞猜的方式，使学生了解厨房原料管理的概念、目的和意 义，培养学生独立的思想；</w:t>
            </w:r>
          </w:p>
          <w:p>
            <w:pPr>
              <w:pStyle w:val="24"/>
              <w:keepNext w:val="0"/>
              <w:keepLines w:val="0"/>
              <w:pageBreakBefore w:val="0"/>
              <w:wordWrap/>
              <w:overflowPunct/>
              <w:topLinePunct w:val="0"/>
              <w:bidi w:val="0"/>
              <w:spacing w:line="380" w:lineRule="exact"/>
              <w:ind w:right="0" w:rightChars="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2.可采用案例分析、现场实验、视频演示、小组讨论等方式，让学生掌握原料管理的各个环节的质量控制方法。</w:t>
            </w:r>
          </w:p>
        </w:tc>
        <w:tc>
          <w:tcPr>
            <w:tcW w:w="940" w:type="dxa"/>
            <w:vAlign w:val="center"/>
          </w:tcPr>
          <w:p>
            <w:pPr>
              <w:pStyle w:val="24"/>
              <w:keepNext w:val="0"/>
              <w:keepLines w:val="0"/>
              <w:pageBreakBefore w:val="0"/>
              <w:wordWrap/>
              <w:overflowPunct/>
              <w:topLinePunct w:val="0"/>
              <w:bidi w:val="0"/>
              <w:spacing w:line="38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2" w:hRule="atLeast"/>
          <w:jc w:val="center"/>
        </w:trPr>
        <w:tc>
          <w:tcPr>
            <w:tcW w:w="772"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1319"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项目六</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厨房产品质量管理</w:t>
            </w:r>
          </w:p>
        </w:tc>
        <w:tc>
          <w:tcPr>
            <w:tcW w:w="3220" w:type="dxa"/>
            <w:vAlign w:val="center"/>
          </w:tcPr>
          <w:p>
            <w:pPr>
              <w:pStyle w:val="24"/>
              <w:keepNext w:val="0"/>
              <w:keepLines w:val="0"/>
              <w:pageBreakBefore w:val="0"/>
              <w:widowControl w:val="0"/>
              <w:kinsoku/>
              <w:wordWrap/>
              <w:overflowPunct/>
              <w:topLinePunct w:val="0"/>
              <w:autoSpaceDE/>
              <w:autoSpaceDN/>
              <w:bidi w:val="0"/>
              <w:adjustRightInd/>
              <w:snapToGrid/>
              <w:spacing w:line="380" w:lineRule="exact"/>
              <w:ind w:left="0" w:right="0" w:righ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通过本项目学习了解厨房产品质量概念掌握影响厨房产品质量因素分析，掌握厨房产品质量控制方法。</w:t>
            </w:r>
          </w:p>
        </w:tc>
        <w:tc>
          <w:tcPr>
            <w:tcW w:w="3035" w:type="dxa"/>
            <w:vAlign w:val="center"/>
          </w:tcPr>
          <w:p>
            <w:pPr>
              <w:pStyle w:val="24"/>
              <w:keepNext w:val="0"/>
              <w:keepLines w:val="0"/>
              <w:pageBreakBefore w:val="0"/>
              <w:wordWrap/>
              <w:overflowPunct/>
              <w:topLinePunct w:val="0"/>
              <w:bidi w:val="0"/>
              <w:spacing w:line="380" w:lineRule="exact"/>
              <w:ind w:left="0" w:right="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1.可设计课堂任务书、活页式实践操作指导书，辅助学生学习和训 练，培养学生思考总结能力；</w:t>
            </w:r>
          </w:p>
          <w:p>
            <w:pPr>
              <w:pStyle w:val="24"/>
              <w:keepNext w:val="0"/>
              <w:keepLines w:val="0"/>
              <w:pageBreakBefore w:val="0"/>
              <w:widowControl w:val="0"/>
              <w:kinsoku/>
              <w:wordWrap/>
              <w:overflowPunct/>
              <w:topLinePunct w:val="0"/>
              <w:autoSpaceDE/>
              <w:autoSpaceDN/>
              <w:bidi w:val="0"/>
              <w:adjustRightInd/>
              <w:snapToGrid/>
              <w:spacing w:line="380" w:lineRule="exact"/>
              <w:ind w:left="0" w:right="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2.可通过教学平台、技能竞赛等活动，让学生掌握各知识要点；</w:t>
            </w:r>
          </w:p>
          <w:p>
            <w:pPr>
              <w:pStyle w:val="24"/>
              <w:keepNext w:val="0"/>
              <w:keepLines w:val="0"/>
              <w:pageBreakBefore w:val="0"/>
              <w:wordWrap/>
              <w:overflowPunct/>
              <w:topLinePunct w:val="0"/>
              <w:bidi w:val="0"/>
              <w:spacing w:line="380" w:lineRule="exact"/>
              <w:ind w:left="0" w:right="0" w:rightChars="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3.可实物展示，讲解质量管理所应掌握的内容。</w:t>
            </w:r>
          </w:p>
        </w:tc>
        <w:tc>
          <w:tcPr>
            <w:tcW w:w="940" w:type="dxa"/>
            <w:vAlign w:val="center"/>
          </w:tcPr>
          <w:p>
            <w:pPr>
              <w:pStyle w:val="24"/>
              <w:keepNext w:val="0"/>
              <w:keepLines w:val="0"/>
              <w:pageBreakBefore w:val="0"/>
              <w:wordWrap/>
              <w:overflowPunct/>
              <w:topLinePunct w:val="0"/>
              <w:bidi w:val="0"/>
              <w:spacing w:line="380" w:lineRule="exact"/>
              <w:ind w:left="0"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（1）坚持正确的育人理念，充分挖掘本课程思政元素，积极组织课程思政教育，养成正确的中西面点专业从业人员职业道德意识，将立德树人贯穿于课程实施全过程。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中西面点制作厨房基础管理为主体，以职业实践为主线，积极探索理论和实践相结合的教学模式，充分体现任务引领、工作过程导向课程的思想，采用线上向下混合式教学，将教学活动根据工作流程设计成若干项目，创设相应的工作情景，采用并列与流程相结合的结构展示教学内容；工学结合、突出实践，强化能力，掌握一线生产管理具体要求</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技能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厨房组织构架、设施设备管理、物料管理、生产管理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（1）配备本课程必备的活页手册和技术资料，参照技能实训室实训设备配备标准配齐必备的教学设备和实验、实训器材，定期向学生开放，充分提高设备利用率。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（2）注重企业生产实践现场的作用，安排酒店西点间、烘焙车间的参观学习，熟悉厨房组织构架，增强学生的感性认识。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（1）教材编写以本课程标准为基本要求，编写时应将厨房管理的基本原理与生产生活中的实际应用相结合，注重实践技能的培养，注意反映厨政管理技术领域的新知识、新技术和新方法。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tabs>
          <w:tab w:val="left" w:pos="1604"/>
        </w:tabs>
        <w:spacing w:before="126" w:line="222" w:lineRule="auto"/>
        <w:ind w:left="1663" w:leftChars="0"/>
        <w:jc w:val="both"/>
        <w:rPr>
          <w:rFonts w:hint="eastAsia" w:ascii="Arial Unicode MS" w:hAnsi="Arial Unicode MS" w:eastAsia="Arial Unicode MS" w:cs="Arial Unicode MS"/>
          <w:color w:val="auto"/>
          <w:sz w:val="32"/>
          <w:szCs w:val="32"/>
          <w:lang w:val="en-US" w:eastAsia="zh-CN"/>
        </w:rPr>
      </w:pPr>
    </w:p>
    <w:p>
      <w:pPr>
        <w:tabs>
          <w:tab w:val="left" w:pos="1604"/>
        </w:tabs>
        <w:spacing w:before="126" w:line="222" w:lineRule="auto"/>
        <w:jc w:val="center"/>
        <w:rPr>
          <w:rFonts w:hint="eastAsia" w:ascii="仿宋" w:hAnsi="仿宋" w:eastAsia="仿宋" w:cs="仿宋"/>
          <w:sz w:val="32"/>
          <w:szCs w:val="32"/>
          <w:lang w:val="en-US" w:eastAsia="zh-CN"/>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tabs>
          <w:tab w:val="left" w:pos="1604"/>
        </w:tabs>
        <w:kinsoku/>
        <w:wordWrap/>
        <w:overflowPunct/>
        <w:topLinePunct w:val="0"/>
        <w:autoSpaceDE/>
        <w:autoSpaceDN/>
        <w:bidi w:val="0"/>
        <w:adjustRightInd/>
        <w:snapToGrid/>
        <w:spacing w:after="0" w:afterLines="50" w:line="224" w:lineRule="auto"/>
        <w:jc w:val="center"/>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《中式面点制作》课程标准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32"/>
          <w:lang w:val="en-US" w:eastAsia="zh-CN"/>
        </w:rPr>
      </w:pPr>
      <w:bookmarkStart w:id="114" w:name="_Toc28449"/>
      <w:bookmarkStart w:id="115" w:name="_Toc16799"/>
      <w:bookmarkStart w:id="116" w:name="_Toc20529"/>
      <w:r>
        <w:rPr>
          <w:rFonts w:hint="eastAsia" w:ascii="楷体" w:hAnsi="楷体" w:eastAsia="楷体" w:cs="楷体"/>
          <w:sz w:val="32"/>
          <w:szCs w:val="32"/>
          <w:lang w:val="en-US" w:eastAsia="zh-CN"/>
        </w:rPr>
        <w:t>（一）课程性质与任务</w:t>
      </w:r>
      <w:bookmarkEnd w:id="114"/>
      <w:bookmarkEnd w:id="115"/>
      <w:bookmarkEnd w:id="116"/>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中西面点专业的一门专业核心课程。通过学习水调、膨松、油酥及其他类面团的性质、调制方法及制坯、成型、成熟知识等专业知识，使学生能够掌握中式基础面点加工的一般工艺流程、制作原理、成型技法、成熟方法；具备餐饮企事业单位零点、中档宴会点心的制作能力，能灵活运用各种熟制方法独立完成常见基础面点的生产。能够对中华饮食文化的传承和创新起到积极助推作用。培养学生的职业道德和工匠精神，提高学生综合素质和职业能力，为学生后续其他专业课程的学习打下基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32"/>
          <w:lang w:val="en-US" w:eastAsia="zh-CN"/>
        </w:rPr>
      </w:pPr>
      <w:bookmarkStart w:id="117" w:name="_Toc25994"/>
      <w:bookmarkStart w:id="118" w:name="_Toc5433"/>
      <w:bookmarkStart w:id="119" w:name="_Toc29552"/>
      <w:r>
        <w:rPr>
          <w:rFonts w:hint="eastAsia" w:ascii="楷体" w:hAnsi="楷体" w:eastAsia="楷体" w:cs="楷体"/>
          <w:sz w:val="32"/>
          <w:szCs w:val="32"/>
          <w:lang w:val="en-US" w:eastAsia="zh-CN"/>
        </w:rPr>
        <w:t>（二）课程教学目标</w:t>
      </w:r>
      <w:bookmarkEnd w:id="117"/>
      <w:bookmarkEnd w:id="118"/>
      <w:bookmarkEnd w:id="119"/>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（1）了解中式面点基础知识及面点成形、成熟的判断标准；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（2）了解馅心的作用与种类；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（3）了解五大类面团的概念、分类及特点；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（4）熟悉中式面点制作各工艺环节的作用、原理；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（5）掌握典型面点品种食谱及各种成形与成熟技法要领；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（6）掌握各类馅心制作方法及要领；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（7）掌握水调面团、膨松面团、油酥面团、米粉面团和其他面团的调制操作方法及要领。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（1）具备运用相关成形技法和成熟方法加工各类中式面点品种的能力；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（2）具备选用适合的原料、调料，制作常用馅心的能力；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（3）具备制作出水调面团、膨松面团、油酥面团、米粉面团及其他面团基础品种；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（4）具备按照岗位生产要求，独立完成中式面点基础产品的生产及推介能力；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（5）能够表达和人际沟通；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（6）能够从案例中寻找共性举一反三，不断养成岗位要求需要</w:t>
      </w:r>
      <w:r>
        <w:rPr>
          <w:rFonts w:hint="eastAsia" w:ascii="楷体" w:hAnsi="楷体" w:eastAsia="楷体" w:cs="楷体"/>
          <w:snapToGrid/>
          <w:color w:val="auto"/>
          <w:kern w:val="2"/>
          <w:sz w:val="32"/>
          <w:szCs w:val="32"/>
          <w:lang w:val="en-US" w:eastAsia="zh-CN" w:bidi="ar"/>
        </w:rPr>
        <w:t>的职业素养能力。</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32"/>
          <w:lang w:val="en-US" w:eastAsia="zh-CN"/>
        </w:rPr>
      </w:pPr>
      <w:bookmarkStart w:id="120" w:name="_Toc8480"/>
      <w:bookmarkStart w:id="121" w:name="_Toc31696"/>
      <w:bookmarkStart w:id="122" w:name="_Toc5323"/>
      <w:r>
        <w:rPr>
          <w:rFonts w:hint="eastAsia" w:ascii="楷体" w:hAnsi="楷体" w:eastAsia="楷体" w:cs="楷体"/>
          <w:sz w:val="32"/>
          <w:szCs w:val="32"/>
          <w:lang w:val="en-US" w:eastAsia="zh-CN"/>
        </w:rPr>
        <w:t>（三）参考学时</w:t>
      </w:r>
      <w:bookmarkEnd w:id="120"/>
      <w:bookmarkEnd w:id="121"/>
      <w:bookmarkEnd w:id="122"/>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216学时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32"/>
          <w:lang w:val="en-US" w:eastAsia="zh-CN"/>
        </w:rPr>
      </w:pPr>
      <w:bookmarkStart w:id="123" w:name="_Toc27149"/>
      <w:bookmarkStart w:id="124" w:name="_Toc23245"/>
      <w:bookmarkStart w:id="125" w:name="_Toc13748"/>
      <w:r>
        <w:rPr>
          <w:rFonts w:hint="eastAsia" w:ascii="楷体" w:hAnsi="楷体" w:eastAsia="楷体" w:cs="楷体"/>
          <w:sz w:val="32"/>
          <w:szCs w:val="32"/>
          <w:lang w:val="en-US" w:eastAsia="zh-CN"/>
        </w:rPr>
        <w:t>（四）课程学分</w:t>
      </w:r>
      <w:bookmarkEnd w:id="123"/>
      <w:bookmarkEnd w:id="124"/>
      <w:bookmarkEnd w:id="12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12学分</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课程内容和要求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both"/>
        <w:textAlignment w:val="auto"/>
        <w:rPr>
          <w:rFonts w:hint="eastAsia" w:ascii="楷体" w:hAnsi="楷体" w:eastAsia="楷体" w:cs="楷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both"/>
        <w:textAlignment w:val="auto"/>
        <w:rPr>
          <w:rFonts w:hint="eastAsia" w:ascii="楷体" w:hAnsi="楷体" w:eastAsia="楷体" w:cs="楷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both"/>
        <w:textAlignment w:val="auto"/>
        <w:rPr>
          <w:rFonts w:hint="eastAsia" w:ascii="楷体" w:hAnsi="楷体" w:eastAsia="楷体" w:cs="楷体"/>
          <w:sz w:val="32"/>
          <w:szCs w:val="32"/>
          <w:lang w:val="en-US" w:eastAsia="zh-CN"/>
        </w:rPr>
      </w:pPr>
    </w:p>
    <w:tbl>
      <w:tblPr>
        <w:tblStyle w:val="16"/>
        <w:tblW w:w="52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206"/>
        <w:gridCol w:w="2984"/>
        <w:gridCol w:w="370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8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62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8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155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8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193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8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39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20" w:lineRule="exact"/>
              <w:ind w:left="0" w:right="0"/>
              <w:jc w:val="center"/>
              <w:textAlignment w:val="baseline"/>
              <w:rPr>
                <w:rFonts w:hint="eastAsia" w:ascii="黑体" w:hAnsi="黑体" w:eastAsia="黑体" w:cs="黑体"/>
                <w:b w:val="0"/>
                <w:bCs w:val="0"/>
                <w:color w:val="auto"/>
                <w:kern w:val="0"/>
                <w:sz w:val="21"/>
                <w:szCs w:val="21"/>
                <w:vertAlign w:val="baseline"/>
                <w:lang w:val="en-US" w:eastAsia="zh-CN" w:bidi="ar"/>
              </w:rPr>
            </w:pPr>
            <w:r>
              <w:rPr>
                <w:rFonts w:hint="eastAsia" w:ascii="黑体" w:hAnsi="黑体" w:eastAsia="黑体" w:cs="黑体"/>
                <w:b w:val="0"/>
                <w:bCs w:val="0"/>
                <w:color w:val="auto"/>
                <w:kern w:val="0"/>
                <w:sz w:val="21"/>
                <w:szCs w:val="21"/>
                <w:vertAlign w:val="baseline"/>
                <w:lang w:val="en-US" w:eastAsia="zh-CN" w:bidi="ar"/>
              </w:rPr>
              <w:t>参考</w:t>
            </w:r>
          </w:p>
          <w:p>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32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eastAsia="zh-CN" w:bidi="ar"/>
              </w:rPr>
              <w:t>模块</w:t>
            </w:r>
            <w:r>
              <w:rPr>
                <w:rFonts w:hint="eastAsia" w:ascii="仿宋_GB2312" w:hAnsi="仿宋_GB2312" w:eastAsia="仿宋_GB2312" w:cs="仿宋_GB2312"/>
                <w:b w:val="0"/>
                <w:bCs w:val="0"/>
                <w:color w:val="auto"/>
                <w:kern w:val="0"/>
                <w:sz w:val="21"/>
                <w:szCs w:val="21"/>
                <w:vertAlign w:val="baseline"/>
                <w:lang w:bidi="ar"/>
              </w:rPr>
              <w:t>一</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bidi="ar"/>
              </w:rPr>
              <w:t>面点</w:t>
            </w:r>
            <w:r>
              <w:rPr>
                <w:rFonts w:hint="eastAsia" w:ascii="仿宋_GB2312" w:hAnsi="仿宋_GB2312" w:eastAsia="仿宋_GB2312" w:cs="仿宋_GB2312"/>
                <w:b w:val="0"/>
                <w:bCs w:val="0"/>
                <w:color w:val="auto"/>
                <w:kern w:val="0"/>
                <w:sz w:val="21"/>
                <w:szCs w:val="21"/>
                <w:vertAlign w:val="baseline"/>
                <w:lang w:eastAsia="zh-CN" w:bidi="ar"/>
              </w:rPr>
              <w:t>基本知识</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1.了解面点行业的悠久历程以及今天面点行业状况；</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kern w:val="0"/>
                <w:sz w:val="21"/>
                <w:szCs w:val="21"/>
                <w:lang w:val="en-US" w:eastAsia="zh-CN" w:bidi="ar-SA"/>
              </w:rPr>
              <w:t>2.掌握中式面点各个流派特点及代表品种。</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kern w:val="0"/>
                <w:sz w:val="21"/>
                <w:szCs w:val="21"/>
                <w:lang w:val="en-US" w:eastAsia="zh-CN" w:bidi="ar-SA"/>
              </w:rPr>
              <w:t>可采用小组讨论等方式引导学生归纳基本概念，认识中国饮食文化的深厚内涵，通过地图及中国南北区域差距讲解各流派特点和品种特色。</w:t>
            </w:r>
          </w:p>
        </w:tc>
        <w:tc>
          <w:tcPr>
            <w:tcW w:w="390"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0"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bidi="ar"/>
              </w:rPr>
            </w:pPr>
            <w:r>
              <w:rPr>
                <w:rFonts w:hint="eastAsia" w:ascii="仿宋_GB2312" w:hAnsi="仿宋_GB2312" w:eastAsia="仿宋_GB2312" w:cs="仿宋_GB2312"/>
                <w:b w:val="0"/>
                <w:bCs w:val="0"/>
                <w:color w:val="auto"/>
                <w:kern w:val="0"/>
                <w:sz w:val="21"/>
                <w:szCs w:val="21"/>
                <w:vertAlign w:val="baseline"/>
                <w:lang w:eastAsia="zh-CN" w:bidi="ar"/>
              </w:rPr>
              <w:t>模块二</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eastAsia="zh-CN" w:bidi="ar"/>
              </w:rPr>
              <w:t>面点技术基础</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1.了解设施设备及工具的应用领域、保养及维护方法；</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2.掌握面点坯皮制作的工艺；</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3.了解制皮上馅工艺；</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4.掌握中式面点制作常用设备及工具的性能和使用方法；</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5.掌握各种坯皮制作及上馅方法。</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200" w:firstLineChars="0"/>
              <w:jc w:val="both"/>
              <w:textAlignment w:val="baseline"/>
              <w:rPr>
                <w:rFonts w:hint="eastAsia" w:ascii="仿宋_GB2312" w:hAnsi="仿宋_GB2312" w:eastAsia="仿宋_GB2312" w:cs="仿宋_GB2312"/>
                <w:kern w:val="0"/>
                <w:sz w:val="21"/>
                <w:szCs w:val="21"/>
                <w:lang w:val="en-US" w:eastAsia="zh-CN" w:bidi="ar-SA"/>
              </w:rPr>
            </w:pP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1.可组织现场观看、演示操作，安全事件案例分析等活动，让学生认识各设施设备，明确操作规范，培养学生安全生产和节约意识；</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2.可采用视频微课、演示操作、分组练习、小组竞赛等活动，让学生掌握各种成形方法及成熟方法，培养学生解决问题的能力和规范操作的职业素养。</w:t>
            </w:r>
          </w:p>
        </w:tc>
        <w:tc>
          <w:tcPr>
            <w:tcW w:w="390"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模块三</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rPr>
              <w:t>冷水面团制品实例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了解水调面团的概念、分类与特点；</w:t>
            </w:r>
          </w:p>
          <w:p>
            <w:pPr>
              <w:pStyle w:val="15"/>
              <w:keepNext w:val="0"/>
              <w:keepLines w:val="0"/>
              <w:pageBreakBefore w:val="0"/>
              <w:widowControl/>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熟悉冷水调面团成团原理；</w:t>
            </w:r>
          </w:p>
          <w:p>
            <w:pPr>
              <w:pStyle w:val="15"/>
              <w:keepNext w:val="0"/>
              <w:keepLines w:val="0"/>
              <w:pageBreakBefore w:val="0"/>
              <w:widowControl/>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掌握冷水面团调制方法及要领；</w:t>
            </w:r>
          </w:p>
          <w:p>
            <w:pPr>
              <w:pStyle w:val="15"/>
              <w:keepNext w:val="0"/>
              <w:keepLines w:val="0"/>
              <w:pageBreakBefore w:val="0"/>
              <w:widowControl/>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能制作出常见冷水面团的基础品种。</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 xml:space="preserve">1.可设计水调面团学习工作页，让学生填写相应知识内容，培养学生思考总结能力； </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2.可通过教学平台进行演示操作、分组练习、技能竞赛等活动，让学生掌握各品种制作，培养学生耐心细致的工作态度及精益求精的工匠精神；</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3.可布置家庭实践作业，让学生回家制作水饺、手擀面等， 培养学生动手能力和对专业的认同感和自豪感。</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p>
        </w:tc>
        <w:tc>
          <w:tcPr>
            <w:tcW w:w="390"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bidi="ar"/>
              </w:rPr>
              <w:t>模块四</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rPr>
            </w:pPr>
            <w:r>
              <w:rPr>
                <w:rFonts w:hint="eastAsia" w:ascii="仿宋_GB2312" w:hAnsi="仿宋_GB2312" w:eastAsia="仿宋_GB2312" w:cs="仿宋_GB2312"/>
                <w:b w:val="0"/>
                <w:bCs w:val="0"/>
                <w:color w:val="auto"/>
                <w:kern w:val="0"/>
                <w:sz w:val="21"/>
                <w:szCs w:val="21"/>
                <w:vertAlign w:val="baseline"/>
                <w:lang w:val="en-US" w:eastAsia="zh-CN"/>
              </w:rPr>
              <w:t>温水面团制品实例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1.了解温水面团的概念与特点；</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2.熟悉温水面团成团原理；</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3.掌握温水面团调制方法及要领；</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4.能制作出常见温水面团的基础品种；</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5.并按行业标准能够制作葱油饼、鸭饼、四喜饺、冠顶饺、月牙蒸饺等制品。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1.利用多媒体教学手段和线上课程，讲解温水面团概念与特点，演示温水面团调制方法，让学生明白淀粉和蛋白质随水温的变化；</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2.分发任务工单，让学生按照要求准备制品原料以及工用具；</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3.每小组在教师指导下对应典型工作任务按标准要求制作葱油饼、鸭饼、四喜饺、冠顶饺、月牙蒸饺等制品。</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模块五</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eastAsia="zh-CN" w:bidi="ar"/>
              </w:rPr>
            </w:pPr>
            <w:r>
              <w:rPr>
                <w:rFonts w:hint="eastAsia" w:ascii="仿宋_GB2312" w:hAnsi="仿宋_GB2312" w:eastAsia="仿宋_GB2312" w:cs="仿宋_GB2312"/>
                <w:b w:val="0"/>
                <w:bCs w:val="0"/>
                <w:color w:val="auto"/>
                <w:kern w:val="0"/>
                <w:sz w:val="21"/>
                <w:szCs w:val="21"/>
                <w:vertAlign w:val="baseline"/>
                <w:lang w:eastAsia="zh-CN" w:bidi="ar"/>
              </w:rPr>
              <w:t>沸水面团制品实例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1.了解沸水面团的概念与特点；</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2.熟悉沸水面团成团原理；</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3.掌握沸水面团调制方法及要领；能制作出常见沸水面团的基础品种。</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 xml:space="preserve">1.可设计沸水面团学习工作页，让学生填写相应知识内容，培养学生思考总结能力； </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2.可通过教学平台进行演示操作、分组练习、技能竞赛等活动，让学生掌握各品种制作，培养学生耐心细致的工作态度及精益求精的工匠精神；</w:t>
            </w:r>
          </w:p>
          <w:p>
            <w:pPr>
              <w:pStyle w:val="15"/>
              <w:keepNext w:val="0"/>
              <w:keepLines w:val="0"/>
              <w:pageBreakBefore w:val="0"/>
              <w:widowControl/>
              <w:suppressLineNumbers w:val="0"/>
              <w:tabs>
                <w:tab w:val="left" w:pos="312"/>
              </w:tabs>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3.可布置家庭实践作业，让学生回家制作糖三角、油炸糕等制品，并强调注意安全；培养学生动手能力和对专业的认同感和自豪感。</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模块六</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生物膨松面团制品实例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numPr>
                <w:ilvl w:val="0"/>
                <w:numId w:val="6"/>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了解生物膨松面团的概念与特点；</w:t>
            </w:r>
          </w:p>
          <w:p>
            <w:pPr>
              <w:pStyle w:val="24"/>
              <w:keepNext w:val="0"/>
              <w:keepLines w:val="0"/>
              <w:pageBreakBefore w:val="0"/>
              <w:widowControl/>
              <w:numPr>
                <w:ilvl w:val="0"/>
                <w:numId w:val="6"/>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掌握膨松面团膨松原理以及面团调制方法和调制要领；</w:t>
            </w:r>
          </w:p>
          <w:p>
            <w:pPr>
              <w:pStyle w:val="24"/>
              <w:keepNext w:val="0"/>
              <w:keepLines w:val="0"/>
              <w:pageBreakBefore w:val="0"/>
              <w:widowControl/>
              <w:numPr>
                <w:ilvl w:val="0"/>
                <w:numId w:val="6"/>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能制作出常见生物膨松面团的基础品种；</w:t>
            </w:r>
          </w:p>
          <w:p>
            <w:pPr>
              <w:pStyle w:val="24"/>
              <w:keepNext w:val="0"/>
              <w:keepLines w:val="0"/>
              <w:pageBreakBefore w:val="0"/>
              <w:widowControl/>
              <w:numPr>
                <w:ilvl w:val="0"/>
                <w:numId w:val="6"/>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并能按行业标准熟练制作馒头、花卷、提褶包、银丝卷、豆沙伙食等制品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 xml:space="preserve">1.可设计膨松面团学习工作页，让学生填写相应知识内  容，培养学生思考总结能力； </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2.可通过演示操作、分组练习、技能竞赛等活动，让学  生掌握各品种制作流程及要领，培养学生耐心细致的工作态度及精益求精的工匠精  神；</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3.可布置家庭实践作业，让学生回家制作馒头、提褶包，培养学生动手能力和对专业认同感和自豪感。</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7</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模块七</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物理膨松面团制品实例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通过本模块学习了解物理膨松面团的概念与特点；掌握物理膨松面团膨松原理以及面湖调制方法和调制要领；能制作出常见物理膨松面团的基础品种。能按行业标准要求制作海绵蛋糕、戚风蛋糕、天鹅泡芙等制品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1.利用多媒体教学手段和线上课程，讲解物理膨松面团概念与特点，演示物理膨松面团调制方法，让学生明白鸡蛋发泡原理及烘烤过程中的变化；</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2.分发任务工单，让学生按照要求准备制品原料以及工用具；</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3.每小组在教师指导下对应典型工作任务按标准要求制作海绵蛋糕、戚风蛋糕、泡芙等制品。</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8</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模块八</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化学膨松面团制品实例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通过本模块学习了解化学膨松面团的概念与特点；掌握化学膨松面团膨松原理以及面团调制方法和调制要领；能制作出常见化学膨松面团的基础品种。能按行业标准要求制作油条、开口笑等制品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1.利用多媒体教学手段和线上课程，讲解化学膨松面团概念与特点，演示化学膨松面团调制方法，让学生明白化学膨松剂发泡原理及烘烤过程中的变化；</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2.分发任务工单，让学生按照要求准备制品原料以及工用具；</w:t>
            </w:r>
          </w:p>
          <w:p>
            <w:pPr>
              <w:pStyle w:val="15"/>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3.每小组在教师指导下对应典型工作任务按标准要求制作开口笑等制品；并强调注意烤箱安全及用电安全。</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3"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9</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模块九</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油酥面团制品实例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通过本模块学习了解油酥面团的概念，分类与特点；掌握油酥面团起酥原理；掌握单酥面团、层酥面团调制方法及操作要领；能制作出常见单酥、层酥面团的基础品种；并按照行业标准及大赛要求制作蟹壳黄、兰花酥、菊花酥、荷花酥、眉毛酥、小猪酥、鱿鱼酥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1.利用多媒体教学手段和线上课程，讲解化学膨松面团概念与特点，演示化学膨松面团调制方法，让学生明白化学膨松剂发泡原理及烘烤过程中的变化；</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2.分发任务工单，让学生按照要求准备制品原料以及工用具；</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3.每小组在教师指导下对应典型工作任务按标准要求制作开口笑等制品；并强调注意烤箱安全及用电安全。</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10</w:t>
            </w:r>
          </w:p>
        </w:tc>
        <w:tc>
          <w:tcPr>
            <w:tcW w:w="629" w:type="pct"/>
            <w:tcBorders>
              <w:top w:val="single" w:color="auto" w:sz="4" w:space="0"/>
              <w:left w:val="nil"/>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模块十</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其他面团制品实例</w:t>
            </w:r>
          </w:p>
        </w:tc>
        <w:tc>
          <w:tcPr>
            <w:tcW w:w="1556"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numPr>
                <w:ilvl w:val="0"/>
                <w:numId w:val="7"/>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了解其他面团的概念，分类与特点；熟悉其他面团成团原理；</w:t>
            </w:r>
          </w:p>
          <w:p>
            <w:pPr>
              <w:pStyle w:val="24"/>
              <w:keepNext w:val="0"/>
              <w:keepLines w:val="0"/>
              <w:pageBreakBefore w:val="0"/>
              <w:widowControl/>
              <w:numPr>
                <w:ilvl w:val="0"/>
                <w:numId w:val="7"/>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掌握澄粉面团、杂粮面团调制方法及要领；</w:t>
            </w:r>
          </w:p>
          <w:p>
            <w:pPr>
              <w:pStyle w:val="24"/>
              <w:keepNext w:val="0"/>
              <w:keepLines w:val="0"/>
              <w:pageBreakBefore w:val="0"/>
              <w:widowControl/>
              <w:numPr>
                <w:ilvl w:val="0"/>
                <w:numId w:val="7"/>
              </w:numPr>
              <w:kinsoku/>
              <w:wordWrap/>
              <w:overflowPunct/>
              <w:topLinePunct w:val="0"/>
              <w:bidi w:val="0"/>
              <w:spacing w:line="320" w:lineRule="exact"/>
              <w:ind w:right="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能制作出澄粉面团、杂粮面团的基础品种；并按照行业标准制作玉米饼、菜粑粑、麻团、土豆饼、菜团子等制品。</w:t>
            </w:r>
          </w:p>
        </w:tc>
        <w:tc>
          <w:tcPr>
            <w:tcW w:w="1933" w:type="pct"/>
            <w:tcBorders>
              <w:top w:val="single" w:color="auto" w:sz="4" w:space="0"/>
              <w:left w:val="nil"/>
              <w:bottom w:val="single" w:color="auto" w:sz="4" w:space="0"/>
              <w:right w:val="single" w:color="auto" w:sz="4" w:space="0"/>
            </w:tcBorders>
            <w:noWrap w:val="0"/>
            <w:vAlign w:val="top"/>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1.利用多媒体教学手段和线上课程，讲解化学膨松面团概念与特点，演示化学膨松面团调制方法，让学生明白化学膨松剂发泡原理及烘烤过程中的变化；</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2.分发任务工单，让学生按照要求准备制品原料以及工用具；</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3.每小组在教师指导下对应典型工作任务按标准要求制作开口笑等制品；并强调注意烤箱安全及用电安全。</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（1）坚持正确的育人理念，充分挖掘本课程思政元素，积极组织课程思政教育，养成正确的中西面点专业从业人员职业道德意识，将立德树人贯穿于课程实施全过程。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（2）课程以中式面点制作基础为主体，以职业实践为主线，积极探索理论和实践相结合的教学模式，采用理实一体化教学，引导学生</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学生掌握常用材料选用、搭配、替换；具有一定的企业生产能力；掌握几大面团的调制原理、特点、操作注意事项；掌握各面团常用品种制作和行业要求或大赛标准</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技能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面点原料、坯皮制作、生坯成型、产品熟制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（1）配备本课程必备的活页手册和技术资料，参照技能实训室实训设备配备标准配齐必备的教学设备和实验、实训器材，定期向学生开放，充分提高设备利用率。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（2）注重企业生产实践现场的作用，安排酒店面点间、烘焙车间的参观学习，熟悉各类制品的使用，增强学生的感性认识。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（1）教材编写以本课程标准为基本要求，编写时应将中式面点基础技术的基本原理与生产生活中的实际应用相结合，注重实践技能的培养，注意反映中式面点技术领域的新知识、新技术、新工艺和新材料。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kinsoku/>
        <w:wordWrap/>
        <w:overflowPunct/>
        <w:topLinePunct w:val="0"/>
        <w:autoSpaceDN/>
        <w:bidi w:val="0"/>
        <w:snapToGrid w:val="0"/>
        <w:spacing w:line="560" w:lineRule="exact"/>
        <w:jc w:val="center"/>
        <w:rPr>
          <w:rFonts w:hint="eastAsia" w:ascii="方正小标宋_GBK" w:hAnsi="宋体" w:eastAsia="方正小标宋_GBK" w:cs="Times New Roman"/>
          <w:kern w:val="2"/>
          <w:sz w:val="32"/>
          <w:szCs w:val="32"/>
          <w:lang w:val="en-US" w:eastAsia="zh-CN" w:bidi="ar-SA"/>
        </w:rPr>
      </w:pPr>
    </w:p>
    <w:p>
      <w:pPr>
        <w:snapToGrid w:val="0"/>
        <w:spacing w:before="120" w:beforeLines="50" w:after="120" w:afterLines="50" w:line="580" w:lineRule="exact"/>
        <w:jc w:val="center"/>
        <w:rPr>
          <w:rFonts w:hint="default"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《西式面点制作》课程标准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26" w:name="_Toc297"/>
      <w:bookmarkStart w:id="127" w:name="_Toc21647"/>
      <w:bookmarkStart w:id="128" w:name="_Toc12334"/>
      <w:r>
        <w:rPr>
          <w:rFonts w:hint="eastAsia" w:ascii="楷体" w:hAnsi="楷体" w:eastAsia="楷体" w:cs="楷体"/>
          <w:sz w:val="32"/>
          <w:szCs w:val="32"/>
          <w:lang w:val="en-US" w:eastAsia="zh-CN"/>
        </w:rPr>
        <w:t>（一）课程性质与任务</w:t>
      </w:r>
      <w:bookmarkEnd w:id="126"/>
      <w:bookmarkEnd w:id="127"/>
      <w:bookmarkEnd w:id="12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课程是中西面点专业的一门专业核心课程。通过学习西式干点、挞派、蛋糕、包房制品、慕斯的性质、工艺流程、制做方法等专业知识，使学生能够掌握西式面点基本制品的工艺流程、制作原理、成型技法、成熟方法；具有餐饮企事业单位、食品制造企业、烘焙场所所需产品的制作能力，能能灵活运用各种方法独立完成常见基础西点的生产。为后续《西点综合实训》等课程的学习奠定了基础，并对学生职业规范、职业素养及双创能力的培养起到重要的支撑作用。培养学生的职业道德和工匠精神，提高学生综合素质和职业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29" w:name="_Toc4584"/>
      <w:bookmarkStart w:id="130" w:name="_Toc2520"/>
      <w:r>
        <w:rPr>
          <w:rFonts w:hint="eastAsia" w:ascii="楷体" w:hAnsi="楷体" w:eastAsia="楷体" w:cs="楷体"/>
          <w:sz w:val="32"/>
          <w:szCs w:val="32"/>
          <w:lang w:val="en-US" w:eastAsia="zh-CN"/>
        </w:rPr>
        <w:t>（二）课程教学目标</w:t>
      </w:r>
      <w:bookmarkEnd w:id="129"/>
      <w:bookmarkEnd w:id="13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（2）具有良好的思想品德修养和职业道德素养；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（3）具有严谨的学习态度，良好的学习习惯；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（4）具有耐心细致的工作作风和严肃认真的工作态度；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（5）具有良好的安全生产、节能环保等职业意识；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（6）具有科学探索精神与创新意识。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（1）了解西式面点制作基础知识；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（2）了解蛋糕类、西饼类及甜品等常见西式面点用料特点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及要求、品质、分类、制作原理；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（3）掌握蛋糕、西饼、基础面包等制作的设备操作、基本工艺流程及操作要领等知识；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（4）掌握蛋糕类、西饼及甜品类的制作方法；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（5）掌握西式面点装盘及装饰基础知识。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（1）具备正确选用、使用西点制作所需的器具、设备，并能进行日常保养维护的能力；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（2）能正确选用原材料，完成蛋糕、西饼及甜品制作过程中原料的初加工和处理、储存工作；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（3）具备制作常用的馅心、夹心、果酱及装饰料的能力；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（4）具备根据各工艺与操作要领制作蛋糕类、西饼类及甜点类代表品种的能力；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（5）具备对西式面点制作品种进行裱花及装饰加工，根据主题设计制作区分不同的装饰类别，并进行装饰的能力；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（6）具备按照岗位生产要求，独立完成西式面点基础产品的生产及推介的能力；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（7）能够表达和人际沟通；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（8）能够从案例中寻找共性举一反三， 不断养成岗位要求需要的职业素养能力。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31" w:name="_Toc23221"/>
      <w:bookmarkStart w:id="132" w:name="_Toc28693"/>
      <w:r>
        <w:rPr>
          <w:rFonts w:hint="eastAsia" w:ascii="楷体" w:hAnsi="楷体" w:eastAsia="楷体" w:cs="楷体"/>
          <w:sz w:val="32"/>
          <w:szCs w:val="32"/>
          <w:lang w:val="en-US" w:eastAsia="zh-CN"/>
        </w:rPr>
        <w:t>（三）参考学时</w:t>
      </w:r>
      <w:bookmarkEnd w:id="131"/>
      <w:bookmarkEnd w:id="132"/>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33" w:name="_Toc10007"/>
      <w:bookmarkStart w:id="134" w:name="_Toc19662"/>
      <w:r>
        <w:rPr>
          <w:rFonts w:hint="eastAsia" w:ascii="楷体" w:hAnsi="楷体" w:eastAsia="楷体" w:cs="楷体"/>
          <w:sz w:val="32"/>
          <w:szCs w:val="32"/>
          <w:lang w:val="en-US" w:eastAsia="zh-CN"/>
        </w:rPr>
        <w:t>（四）课程学分</w:t>
      </w:r>
      <w:bookmarkEnd w:id="133"/>
      <w:bookmarkEnd w:id="134"/>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tbl>
      <w:tblPr>
        <w:tblStyle w:val="23"/>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319"/>
        <w:gridCol w:w="2607"/>
        <w:gridCol w:w="3585"/>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72"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lang w:val="en-US" w:eastAsia="zh-CN"/>
              </w:rPr>
              <w:t>序号</w:t>
            </w:r>
          </w:p>
        </w:tc>
        <w:tc>
          <w:tcPr>
            <w:tcW w:w="1319"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lang w:val="en-US" w:eastAsia="zh-CN"/>
              </w:rPr>
              <w:t>教学项目</w:t>
            </w:r>
          </w:p>
        </w:tc>
        <w:tc>
          <w:tcPr>
            <w:tcW w:w="260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lang w:val="en-US" w:eastAsia="zh-CN"/>
              </w:rPr>
              <w:t>教学内容与教学要求</w:t>
            </w:r>
          </w:p>
        </w:tc>
        <w:tc>
          <w:tcPr>
            <w:tcW w:w="358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lang w:val="en-US" w:eastAsia="zh-CN"/>
              </w:rPr>
              <w:t>教学活动设计建议</w:t>
            </w:r>
          </w:p>
        </w:tc>
        <w:tc>
          <w:tcPr>
            <w:tcW w:w="112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lang w:val="en-US" w:eastAsia="zh-CN"/>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2" w:type="dxa"/>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319" w:type="dxa"/>
            <w:vAlign w:val="top"/>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项目一</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西式面点师</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应知应会</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（原料知识）</w:t>
            </w:r>
          </w:p>
        </w:tc>
        <w:tc>
          <w:tcPr>
            <w:tcW w:w="2607"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1.了解西点常用的原料的来源、产地、性质；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2.熟悉西点常用的原料的特点及用途；</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3.掌握西点常用的原料的质量鉴别、保管知识和使用方法；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能辨别出西点当中常用的基础原料。</w:t>
            </w:r>
          </w:p>
        </w:tc>
        <w:tc>
          <w:tcPr>
            <w:tcW w:w="3585" w:type="dxa"/>
            <w:vAlign w:val="top"/>
          </w:tcPr>
          <w:p>
            <w:pPr>
              <w:keepNext w:val="0"/>
              <w:keepLines w:val="0"/>
              <w:pageBreakBefore w:val="0"/>
              <w:widowControl w:val="0"/>
              <w:kinsoku/>
              <w:wordWrap/>
              <w:overflowPunct/>
              <w:topLinePunct w:val="0"/>
              <w:bidi w:val="0"/>
              <w:adjustRightInd w:val="0"/>
              <w:snapToGrid w:val="0"/>
              <w:spacing w:line="320" w:lineRule="exac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1.可通过课前任务、课堂任务书、活页式实践操作指导书、课后作  业、随机抢答、教师提问等方式，让学生填写或回答相应知识内容，培养学生自主学习和温故而知新的好习惯；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rPr>
              <w:t>2.可利用微课视频、图片或实物对比、小组任务等方法，使学生了解西点常用原料的相关 理论知识，培养学生总结和归纳能力。</w:t>
            </w:r>
          </w:p>
        </w:tc>
        <w:tc>
          <w:tcPr>
            <w:tcW w:w="1125" w:type="dxa"/>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2" w:type="dxa"/>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19" w:type="dxa"/>
            <w:vAlign w:val="center"/>
          </w:tcPr>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西式面点师</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应知应会</w:t>
            </w:r>
          </w:p>
          <w:p>
            <w:pPr>
              <w:pStyle w:val="1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（专业知识）</w:t>
            </w:r>
          </w:p>
        </w:tc>
        <w:tc>
          <w:tcPr>
            <w:tcW w:w="2607"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通过本项目学习了解西点的起源与发展历史；熟悉常用设备的维护与保养；掌握常用设备的使用方法；能够合理维护设施设备；掌握如何选用工具用具制作相关品种。</w:t>
            </w:r>
          </w:p>
        </w:tc>
        <w:tc>
          <w:tcPr>
            <w:tcW w:w="358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1.可利用学生的生活经验，列举常见品种，启发学生思考；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2.可通过网络搜集资料、小组讨论等方式了解西点的起源与发展， 培养学生自主学习的能力；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3.可通过观看设施设备操作安全视频、分析 安全事件案例等活动， 让学生了解设施设备使用不当的危害，明确操作规范，培养学生安全生产和节约意识。</w:t>
            </w:r>
          </w:p>
        </w:tc>
        <w:tc>
          <w:tcPr>
            <w:tcW w:w="1125" w:type="dxa"/>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firstLine="0" w:firstLineChars="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8" w:hRule="atLeast"/>
        </w:trPr>
        <w:tc>
          <w:tcPr>
            <w:tcW w:w="772" w:type="dxa"/>
            <w:vAlign w:val="center"/>
          </w:tcPr>
          <w:p>
            <w:pPr>
              <w:pStyle w:val="24"/>
              <w:keepNext w:val="0"/>
              <w:keepLines w:val="0"/>
              <w:pageBreakBefore w:val="0"/>
              <w:kinsoku/>
              <w:wordWrap/>
              <w:overflowPunct/>
              <w:topLinePunct w:val="0"/>
              <w:bidi w:val="0"/>
              <w:spacing w:line="32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1319" w:type="dxa"/>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饼房岗</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产品制作</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（干点类）</w:t>
            </w:r>
          </w:p>
        </w:tc>
        <w:tc>
          <w:tcPr>
            <w:tcW w:w="2607"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通过本项目学习了解西点基本操作手法以及蛋糕的制作过程；掌握西式面点和、擀、 卷、捏、揉、搓、切、抹裱型等基本手法；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掌握合理运用基本手法制作基础西式面点的相关品种能力。掌握干点相关知识，能够制作各营业区干点品种。</w:t>
            </w:r>
          </w:p>
        </w:tc>
        <w:tc>
          <w:tcPr>
            <w:tcW w:w="3585"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1.可通过观看微课视频、教师演示、学生展 示等方法，掌握西点操 作的基本手法；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2.可采用教师示范、小组讨论交流等方法使 学生掌握基本手法的制作要点，为后期制作复杂品种奠定基础；</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3.可与《中西面点基本功》联动，设置评估环节，检测学生的基本技能水平，针对性教学。</w:t>
            </w:r>
          </w:p>
        </w:tc>
        <w:tc>
          <w:tcPr>
            <w:tcW w:w="1125" w:type="dxa"/>
            <w:vAlign w:val="center"/>
          </w:tcPr>
          <w:p>
            <w:pPr>
              <w:pStyle w:val="24"/>
              <w:keepNext w:val="0"/>
              <w:keepLines w:val="0"/>
              <w:pageBreakBefore w:val="0"/>
              <w:kinsoku/>
              <w:wordWrap/>
              <w:overflowPunct/>
              <w:topLinePunct w:val="0"/>
              <w:bidi w:val="0"/>
              <w:spacing w:line="32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4" w:hRule="atLeast"/>
        </w:trPr>
        <w:tc>
          <w:tcPr>
            <w:tcW w:w="772"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both"/>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1319"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both"/>
              <w:textAlignment w:val="auto"/>
              <w:rPr>
                <w:rFonts w:hint="eastAsia" w:ascii="仿宋_GB2312" w:hAnsi="仿宋_GB2312" w:eastAsia="仿宋_GB2312" w:cs="仿宋_GB2312"/>
                <w:szCs w:val="21"/>
                <w:lang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eastAsia="zh-CN"/>
              </w:rPr>
              <w:t>项目</w:t>
            </w:r>
            <w:r>
              <w:rPr>
                <w:rFonts w:hint="eastAsia" w:ascii="仿宋_GB2312" w:hAnsi="仿宋_GB2312" w:eastAsia="仿宋_GB2312" w:cs="仿宋_GB2312"/>
                <w:szCs w:val="21"/>
                <w:lang w:val="en-US" w:eastAsia="zh-CN"/>
              </w:rPr>
              <w:t>四</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饼房岗</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产品制作</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en-US"/>
              </w:rPr>
              <w:t>蛋糕类</w:t>
            </w:r>
            <w:r>
              <w:rPr>
                <w:rFonts w:hint="eastAsia" w:ascii="仿宋_GB2312" w:hAnsi="仿宋_GB2312" w:eastAsia="仿宋_GB2312" w:cs="仿宋_GB2312"/>
                <w:szCs w:val="21"/>
                <w:lang w:val="en-US" w:eastAsia="zh-CN"/>
              </w:rPr>
              <w:t>）</w:t>
            </w:r>
          </w:p>
        </w:tc>
        <w:tc>
          <w:tcPr>
            <w:tcW w:w="2607"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1.了解蛋糕的分类、特点以及蛋糕打发的制作原理；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2.熟悉蛋糕常用原料的基础知识；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3.掌握各类蛋糕的制做方法及操作要领；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4.能通过不同的制作手法制作出常见的清蛋糕、油脂蛋糕、风味蛋糕、艺术蛋糕的基础品种。</w:t>
            </w:r>
          </w:p>
        </w:tc>
        <w:tc>
          <w:tcPr>
            <w:tcW w:w="3585"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应知识内容，培养学生思考总结能力；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2.可采用创意蛋糕裱花比赛、蛋糕速度竞赛 与装饰比赛，提高学生 学习的积极性，培养学 生坚持不懈的工匠精神；</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3.可通过教学平台、演示操作、分组定时定量训练、技能竞赛等活  动，让学生掌握各品种 制作，培养学生耐心细 致的工作态度及精益求精的工匠精神；</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4.可布置家庭实践作业，让学生回家制作蛋糕与家人分享，家校协同，提升学生的专业认同感和自豪感。</w:t>
            </w:r>
          </w:p>
        </w:tc>
        <w:tc>
          <w:tcPr>
            <w:tcW w:w="1125"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both"/>
              <w:textAlignment w:val="auto"/>
              <w:rPr>
                <w:rFonts w:hint="eastAsia" w:ascii="仿宋_GB2312" w:hAnsi="仿宋_GB2312" w:eastAsia="仿宋_GB2312" w:cs="仿宋_GB2312"/>
                <w:kern w:val="2"/>
                <w:sz w:val="21"/>
                <w:szCs w:val="21"/>
                <w:lang w:val="en-US" w:eastAsia="zh-CN" w:bidi="ar-SA"/>
              </w:rPr>
            </w:pPr>
            <w:bookmarkStart w:id="194" w:name="_GoBack"/>
            <w:bookmarkEnd w:id="194"/>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8" w:hRule="atLeast"/>
        </w:trPr>
        <w:tc>
          <w:tcPr>
            <w:tcW w:w="772"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1319" w:type="dxa"/>
            <w:vAlign w:val="top"/>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rPr>
            </w:pP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rPr>
            </w:pPr>
            <w:r>
              <w:rPr>
                <w:rFonts w:hint="eastAsia" w:ascii="仿宋_GB2312" w:hAnsi="仿宋_GB2312" w:eastAsia="仿宋_GB2312" w:cs="仿宋_GB2312"/>
                <w:szCs w:val="21"/>
                <w:lang w:eastAsia="zh-CN"/>
              </w:rPr>
              <w:t>项目</w:t>
            </w:r>
            <w:r>
              <w:rPr>
                <w:rFonts w:hint="eastAsia" w:ascii="仿宋_GB2312" w:hAnsi="仿宋_GB2312" w:eastAsia="仿宋_GB2312" w:cs="仿宋_GB2312"/>
                <w:szCs w:val="21"/>
                <w:lang w:val="en-US" w:eastAsia="zh-CN"/>
              </w:rPr>
              <w:t>五</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饼房岗</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产品制作</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（清酥类）</w:t>
            </w:r>
          </w:p>
        </w:tc>
        <w:tc>
          <w:tcPr>
            <w:tcW w:w="2607"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1.了解清酥开酥的分类、特点以及清酥分层的原理；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2.熟悉清酥常用原料的基础知识；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3.掌握清酥的制做方法及操作要领；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4.能通过不同的制作手法制作出常见的清酥基础品种。</w:t>
            </w:r>
          </w:p>
        </w:tc>
        <w:tc>
          <w:tcPr>
            <w:tcW w:w="358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通过教学平台、演示操作、分组定时定量训练、线上线下教学、技能竞赛等活动，让学生掌握清酥各品种制作，培养学生耐心细 致的工作态度及精益求精的工匠精神。</w:t>
            </w:r>
          </w:p>
        </w:tc>
        <w:tc>
          <w:tcPr>
            <w:tcW w:w="1125"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8" w:hRule="atLeast"/>
        </w:trPr>
        <w:tc>
          <w:tcPr>
            <w:tcW w:w="772" w:type="dxa"/>
            <w:vAlign w:val="center"/>
          </w:tcPr>
          <w:p>
            <w:pPr>
              <w:pStyle w:val="24"/>
              <w:keepNext w:val="0"/>
              <w:keepLines w:val="0"/>
              <w:pageBreakBefore w:val="0"/>
              <w:wordWrap/>
              <w:overflowPunct/>
              <w:topLinePunct w:val="0"/>
              <w:bidi w:val="0"/>
              <w:spacing w:before="78" w:line="32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319" w:type="dxa"/>
            <w:vAlign w:val="center"/>
          </w:tcPr>
          <w:p>
            <w:pPr>
              <w:keepNext w:val="0"/>
              <w:keepLines w:val="0"/>
              <w:pageBreakBefore w:val="0"/>
              <w:wordWrap/>
              <w:overflowPunct/>
              <w:topLinePunct w:val="0"/>
              <w:bidi w:val="0"/>
              <w:spacing w:line="320" w:lineRule="exact"/>
              <w:jc w:val="center"/>
              <w:rPr>
                <w:rFonts w:hint="eastAsia" w:ascii="仿宋_GB2312" w:hAnsi="仿宋_GB2312" w:eastAsia="仿宋_GB2312" w:cs="仿宋_GB2312"/>
                <w:kern w:val="2"/>
                <w:sz w:val="21"/>
                <w:szCs w:val="21"/>
                <w:lang w:val="en-US" w:eastAsia="zh-CN" w:bidi="ar-SA"/>
              </w:rPr>
            </w:pPr>
          </w:p>
          <w:p>
            <w:pPr>
              <w:keepNext w:val="0"/>
              <w:keepLines w:val="0"/>
              <w:pageBreakBefore w:val="0"/>
              <w:wordWrap/>
              <w:overflowPunct/>
              <w:topLinePunct w:val="0"/>
              <w:bidi w:val="0"/>
              <w:spacing w:line="320" w:lineRule="exact"/>
              <w:jc w:val="both"/>
              <w:rPr>
                <w:rFonts w:hint="eastAsia" w:ascii="仿宋_GB2312" w:hAnsi="仿宋_GB2312" w:eastAsia="仿宋_GB2312" w:cs="仿宋_GB2312"/>
                <w:kern w:val="2"/>
                <w:sz w:val="21"/>
                <w:szCs w:val="21"/>
                <w:lang w:val="en-US" w:eastAsia="zh-CN" w:bidi="ar-SA"/>
              </w:rPr>
            </w:pPr>
          </w:p>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项目六</w:t>
            </w:r>
          </w:p>
          <w:p>
            <w:pPr>
              <w:pStyle w:val="24"/>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包房岗</w:t>
            </w:r>
          </w:p>
          <w:p>
            <w:pPr>
              <w:pStyle w:val="24"/>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产品制作</w:t>
            </w:r>
          </w:p>
        </w:tc>
        <w:tc>
          <w:tcPr>
            <w:tcW w:w="2607"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1.了解包房产品分类、特点及制作要求；</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2.熟悉软质面包、吐司、牛角丹麦、硬质面包、软欧面包、披萨等品种的工艺流程；</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3.掌握各类基础面包的制作方法及操作要领；</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4.掌握各类面包的应用；</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5.能通过不同的制作手法制作出烘焙大赛基础品种。</w:t>
            </w:r>
          </w:p>
        </w:tc>
        <w:tc>
          <w:tcPr>
            <w:tcW w:w="358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1.可设计课堂任务书、活页式实践操作指导书，辅助学生学习和训练，培养学生思考总结能力；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2.可通过教学平台、演示操作、学生展示、分组练习、技能竞赛等活动，让学生掌握各品种制作要领；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3.可与学校餐厅结合，通过面包配送、接收面包订单等形式，提升学生的训练量，使学生有成就感。</w:t>
            </w:r>
          </w:p>
        </w:tc>
        <w:tc>
          <w:tcPr>
            <w:tcW w:w="1125"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1" w:hRule="atLeast"/>
        </w:trPr>
        <w:tc>
          <w:tcPr>
            <w:tcW w:w="772" w:type="dxa"/>
            <w:vAlign w:val="center"/>
          </w:tcPr>
          <w:p>
            <w:pPr>
              <w:pStyle w:val="24"/>
              <w:keepNext w:val="0"/>
              <w:keepLines w:val="0"/>
              <w:pageBreakBefore w:val="0"/>
              <w:kinsoku/>
              <w:wordWrap/>
              <w:overflowPunct/>
              <w:topLinePunct w:val="0"/>
              <w:bidi w:val="0"/>
              <w:spacing w:line="320" w:lineRule="exact"/>
              <w:ind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1319" w:type="dxa"/>
            <w:vAlign w:val="center"/>
          </w:tcPr>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项目七</w:t>
            </w:r>
          </w:p>
          <w:p>
            <w:pPr>
              <w:pStyle w:val="15"/>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甜品岗</w:t>
            </w:r>
          </w:p>
          <w:p>
            <w:pPr>
              <w:pStyle w:val="24"/>
              <w:keepNext w:val="0"/>
              <w:keepLines w:val="0"/>
              <w:pageBreakBefore w:val="0"/>
              <w:kinsoku/>
              <w:wordWrap/>
              <w:overflowPunct/>
              <w:topLinePunct w:val="0"/>
              <w:bidi w:val="0"/>
              <w:spacing w:line="320" w:lineRule="exact"/>
              <w:ind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产品制作</w:t>
            </w:r>
          </w:p>
        </w:tc>
        <w:tc>
          <w:tcPr>
            <w:tcW w:w="2607"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1.了解甜品的定义、分类及特点、制作原理；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2.了解甜品的成熟方法 及原理；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3.熟悉甜品装饰的作用、种类及花草等相关知识；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4.掌握各类甜品的制作方法及操作要领；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5.能通过不同的制作手法制作出常见的果冻、布 丁、慕斯的基础品种。</w:t>
            </w:r>
          </w:p>
        </w:tc>
        <w:tc>
          <w:tcPr>
            <w:tcW w:w="358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1.可设计课堂任务书、活页式实践操作指导书，辅助学生学习和训 练，培养学生思考总结能力；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2.可通过教学平台、演示操作、学生展示、分组练习、技能竞赛等活动，让学生掌握各品种制作要领；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3.可与配餐单位合作，承接外部生产任务，利用职业教育周等机会。</w:t>
            </w:r>
          </w:p>
        </w:tc>
        <w:tc>
          <w:tcPr>
            <w:tcW w:w="1125" w:type="dxa"/>
            <w:vAlign w:val="center"/>
          </w:tcPr>
          <w:p>
            <w:pPr>
              <w:pStyle w:val="24"/>
              <w:keepNext w:val="0"/>
              <w:keepLines w:val="0"/>
              <w:pageBreakBefore w:val="0"/>
              <w:kinsoku/>
              <w:wordWrap/>
              <w:overflowPunct/>
              <w:topLinePunct w:val="0"/>
              <w:bidi w:val="0"/>
              <w:spacing w:line="320" w:lineRule="exact"/>
              <w:ind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8" w:hRule="atLeast"/>
        </w:trPr>
        <w:tc>
          <w:tcPr>
            <w:tcW w:w="772" w:type="dxa"/>
            <w:vAlign w:val="center"/>
          </w:tcPr>
          <w:p>
            <w:pPr>
              <w:pStyle w:val="24"/>
              <w:keepNext w:val="0"/>
              <w:keepLines w:val="0"/>
              <w:pageBreakBefore w:val="0"/>
              <w:kinsoku/>
              <w:wordWrap/>
              <w:overflowPunct/>
              <w:topLinePunct w:val="0"/>
              <w:bidi w:val="0"/>
              <w:spacing w:line="320" w:lineRule="exact"/>
              <w:ind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1319" w:type="dxa"/>
            <w:vAlign w:val="center"/>
          </w:tcPr>
          <w:p>
            <w:pPr>
              <w:pStyle w:val="24"/>
              <w:keepNext w:val="0"/>
              <w:keepLines w:val="0"/>
              <w:pageBreakBefore w:val="0"/>
              <w:kinsoku/>
              <w:wordWrap/>
              <w:overflowPunct/>
              <w:topLinePunct w:val="0"/>
              <w:bidi w:val="0"/>
              <w:spacing w:line="320" w:lineRule="exact"/>
              <w:ind w:right="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项目八</w:t>
            </w:r>
          </w:p>
          <w:p>
            <w:pPr>
              <w:pStyle w:val="24"/>
              <w:keepNext w:val="0"/>
              <w:keepLines w:val="0"/>
              <w:pageBreakBefore w:val="0"/>
              <w:kinsoku/>
              <w:wordWrap/>
              <w:overflowPunct/>
              <w:topLinePunct w:val="0"/>
              <w:bidi w:val="0"/>
              <w:spacing w:line="320" w:lineRule="exact"/>
              <w:ind w:right="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综合实践</w:t>
            </w:r>
          </w:p>
        </w:tc>
        <w:tc>
          <w:tcPr>
            <w:tcW w:w="2607"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1.掌握产品原料生产的初加工及准备工作；</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2.按照行业要求制作的产品，生产过程符合安全生产标准.能正确检验产品质量；</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3.能正确储存原材料。</w:t>
            </w:r>
          </w:p>
        </w:tc>
        <w:tc>
          <w:tcPr>
            <w:tcW w:w="3585"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1.可在实训基地，引入企业生产流程和标准， 实施订单化生产；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2.可采用班组化生产方式，以班组为单位进行考核和评估，提高学生职业适应能力，培养学生主动协作意识，积极投身劳动；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3.可引入企业生产经营品种、生产管理、检验标准，实施岗位责任制，强化学生责任和担当意识。</w:t>
            </w:r>
          </w:p>
        </w:tc>
        <w:tc>
          <w:tcPr>
            <w:tcW w:w="1125" w:type="dxa"/>
            <w:vAlign w:val="center"/>
          </w:tcPr>
          <w:p>
            <w:pPr>
              <w:pStyle w:val="24"/>
              <w:keepNext w:val="0"/>
              <w:keepLines w:val="0"/>
              <w:pageBreakBefore w:val="0"/>
              <w:wordWrap/>
              <w:overflowPunct/>
              <w:topLinePunct w:val="0"/>
              <w:bidi w:val="0"/>
              <w:spacing w:before="78" w:line="320" w:lineRule="exact"/>
              <w:jc w:val="center"/>
              <w:rPr>
                <w:rFonts w:hint="default" w:eastAsia="宋体"/>
                <w:lang w:val="en-US" w:eastAsia="zh-CN"/>
              </w:rPr>
            </w:pPr>
            <w:r>
              <w:rPr>
                <w:rFonts w:hint="eastAsia" w:ascii="仿宋_GB2312" w:hAnsi="仿宋_GB2312" w:eastAsia="仿宋_GB2312" w:cs="仿宋_GB2312"/>
                <w:kern w:val="2"/>
                <w:sz w:val="21"/>
                <w:szCs w:val="21"/>
                <w:lang w:val="en-US" w:eastAsia="zh-CN" w:bidi="ar-SA"/>
              </w:rPr>
              <w:t>16</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仿宋_GB2312" w:eastAsia="楷体_GB2312" w:cs="仿宋_GB2312"/>
          <w:sz w:val="32"/>
          <w:szCs w:val="32"/>
          <w:lang w:val="en-US" w:eastAsia="zh-CN"/>
        </w:rPr>
      </w:pPr>
      <w:r>
        <w:rPr>
          <w:rFonts w:hint="eastAsia" w:ascii="楷体_GB2312" w:hAnsi="仿宋_GB2312" w:eastAsia="楷体_GB2312" w:cs="仿宋_GB2312"/>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（1）坚持正确的育人理念，充分挖掘本课程思政元素，积极组织课程思政教育，养成正确的中西面点专业从业人员职业道德意识，将立德树人贯穿于课程实施全过程。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（2）课程以西式面点制作基础为主体，以职业实践为主线，积极探索理论和实践相结合的教学模式，采用理实一体化教学，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学生掌握常用材料选用、搭配、替换；具有一定的企业生产能力；掌握蛋糕类、西饼及甜品类的制作、装盘、装饰方法；掌握蛋糕、西饼、基础面包等制作的设备操作、基本工艺流程及操作要领；</w:t>
      </w:r>
      <w:r>
        <w:rPr>
          <w:rFonts w:hint="eastAsia" w:ascii="仿宋_GB2312" w:hAnsi="仿宋_GB2312" w:eastAsia="仿宋_GB2312" w:cs="仿宋_GB2312"/>
          <w:snapToGrid/>
          <w:color w:val="auto"/>
          <w:kern w:val="0"/>
          <w:sz w:val="32"/>
          <w:szCs w:val="32"/>
          <w:lang w:val="en-US" w:eastAsia="zh-CN" w:bidi="ar"/>
        </w:rPr>
        <w:t>掌握烘焙大赛产品制作、行业要求、大赛标准。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技能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0"/>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w:t>
      </w:r>
      <w:r>
        <w:rPr>
          <w:rFonts w:hint="eastAsia" w:ascii="仿宋_GB2312" w:hAnsi="仿宋_GB2312" w:eastAsia="仿宋_GB2312" w:cs="仿宋_GB2312"/>
          <w:snapToGrid/>
          <w:color w:val="auto"/>
          <w:kern w:val="2"/>
          <w:sz w:val="32"/>
          <w:szCs w:val="32"/>
          <w:lang w:val="en-US" w:eastAsia="zh-CN" w:bidi="ar"/>
        </w:rPr>
        <w:t>，使学生对西点原料、设施设备、制作步骤有全面的了解，提高教学效果。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（1）配备本课程必备的活页手册和技术资料，参照技能实训室实训设备配备标准配齐必备的教学设备和实验、实训器材，定期向学生开放，充分提高设备利用率。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（2）注重企业生产实践现场的作用，安排酒店西点间、烘焙车间的参观学习，熟悉各类制品的使用，增强学生的感性认识。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（1）教材编写以本课程标准为基本要求，编写时应将西式面点基础技术的基本原理与生产生活中的实际应用相结合，注重实践技能的培养，注意反映西式面点技术领域的新知识、新技术、新工艺和新材料。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Arial Unicode MS" w:hAnsi="Arial Unicode MS" w:eastAsia="Arial Unicode MS" w:cs="Arial Unicode MS"/>
          <w:b w:val="0"/>
          <w:bCs w:val="0"/>
          <w:i w:val="0"/>
          <w:iCs w:val="0"/>
          <w:caps w:val="0"/>
          <w:color w:val="auto"/>
          <w:spacing w:val="0"/>
          <w:kern w:val="0"/>
          <w:sz w:val="36"/>
          <w:szCs w:val="36"/>
          <w:shd w:val="clear" w:fill="FFFFFF"/>
          <w:lang w:val="en-US" w:eastAsia="zh-CN" w:bidi="ar"/>
        </w:rPr>
      </w:pPr>
    </w:p>
    <w:p>
      <w:pPr>
        <w:snapToGrid w:val="0"/>
        <w:spacing w:before="156" w:beforeLines="50" w:after="156" w:afterLines="50" w:line="580" w:lineRule="exact"/>
        <w:jc w:val="center"/>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《面包课堂》课程标准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35" w:name="_Toc6180"/>
      <w:bookmarkStart w:id="136" w:name="_Toc4322"/>
      <w:r>
        <w:rPr>
          <w:rFonts w:hint="eastAsia" w:ascii="楷体" w:hAnsi="楷体" w:eastAsia="楷体" w:cs="楷体"/>
          <w:sz w:val="32"/>
          <w:szCs w:val="32"/>
          <w:lang w:val="en-US" w:eastAsia="zh-CN"/>
        </w:rPr>
        <w:t>（一）课程性质与任务</w:t>
      </w:r>
      <w:bookmarkEnd w:id="135"/>
      <w:bookmarkEnd w:id="13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中西面点专业的一门专业技能核心课程。通过学习打面、分割、成型等专业知识，使学生能够掌握面包的制作流程、馅料的调整、考前的装饰；具有面点典型设备使用、常规设备保养、典型品种制作的能力，能生产、善生产、会生产，培养学生的职业道德和工匠精神，提高学生综合素质和职业能力，为学生后续其他专业课程的学习打下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37" w:name="_Toc8756"/>
      <w:bookmarkStart w:id="138" w:name="_Toc23741"/>
      <w:r>
        <w:rPr>
          <w:rFonts w:hint="eastAsia" w:ascii="楷体" w:hAnsi="楷体" w:eastAsia="楷体" w:cs="楷体"/>
          <w:sz w:val="32"/>
          <w:szCs w:val="32"/>
          <w:lang w:val="en-US" w:eastAsia="zh-CN"/>
        </w:rPr>
        <w:t>（二）课程教学目标</w:t>
      </w:r>
      <w:bookmarkEnd w:id="137"/>
      <w:bookmarkEnd w:id="13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（1）掌握面包生产的基本原料、辅助原料的使用分类、品种、规格、特性及行业的现状与发展趋势；</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（2）掌握分割、滚圆、成型、装盘的操作技巧，了解烘焙的定义、分类、烘焙厨房的组织结构、着装、规章制度及安全卫生要求；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（3）掌握烘焙百分比的计算方法和不同面包生产方法的优缺和应用；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（4）掌握面包生产的工艺流程，根据不同品种的面包选择合适的生产流程；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（5）掌握面包制作的基本知识，具备一定的独立操作能力，并可根据生产标准完成面包品种的加工；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（6）掌握使用各种常用烘焙工具、量具的方法。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（1）能够根据生产要求独立完成烘焙百分比的计算；</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（2）能够正确使用烤箱、醒发箱等设备；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（3）能够依据标准完成指定品类面包的生产；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（4）能够根据不同面包的醒发和成熟要求，设置烘烤温度及醒发的湿度、温度；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（5）能够调制不同面包的馅料；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（6）能够根据企业要求完成成产，提升职业素养。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39" w:name="_Toc3327"/>
      <w:bookmarkStart w:id="140" w:name="_Toc31851"/>
      <w:r>
        <w:rPr>
          <w:rFonts w:hint="eastAsia" w:ascii="楷体" w:hAnsi="楷体" w:eastAsia="楷体" w:cs="楷体"/>
          <w:sz w:val="32"/>
          <w:szCs w:val="32"/>
          <w:lang w:val="en-US" w:eastAsia="zh-CN"/>
        </w:rPr>
        <w:t>（三）参考学时</w:t>
      </w:r>
      <w:bookmarkEnd w:id="139"/>
      <w:bookmarkEnd w:id="14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54学时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41" w:name="_Toc2587"/>
      <w:bookmarkStart w:id="142" w:name="_Toc30418"/>
      <w:r>
        <w:rPr>
          <w:rFonts w:hint="eastAsia" w:ascii="楷体" w:hAnsi="楷体" w:eastAsia="楷体" w:cs="楷体"/>
          <w:sz w:val="32"/>
          <w:szCs w:val="32"/>
          <w:lang w:val="en-US" w:eastAsia="zh-CN"/>
        </w:rPr>
        <w:t>（四）课程学分</w:t>
      </w:r>
      <w:bookmarkEnd w:id="141"/>
      <w:bookmarkEnd w:id="142"/>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leftChars="200" w:right="0" w:rightChars="0"/>
        <w:jc w:val="center"/>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6"/>
        <w:tblW w:w="51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23"/>
        <w:gridCol w:w="2792"/>
        <w:gridCol w:w="328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652"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1489"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1752"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607"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项目一</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初识面包烘焙概述</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1.了解出面包的起源与发展；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2.掌握面包分类的方法；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3.了解面包师的岗位职责及烘焙厨房的管理制度；</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4.能识别面包类型和发酵方法。</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课前自主预习，搜集国内外面包发展趋势，周末对本地面包店分区域探店；</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课上小组汇报：面包师应具备那些素质？门店常见的面包种类？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小组讨论：面包师的发展之路？让学生明白烘焙厨房的组织架构。</w:t>
            </w:r>
          </w:p>
        </w:tc>
        <w:tc>
          <w:tcPr>
            <w:tcW w:w="60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初识设备工具</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firstLine="420" w:firstLineChars="200"/>
              <w:jc w:val="center"/>
              <w:textAlignment w:val="baseline"/>
              <w:rPr>
                <w:rFonts w:hint="eastAsia" w:ascii="仿宋_GB2312" w:hAnsi="仿宋_GB2312" w:eastAsia="仿宋_GB2312" w:cs="仿宋_GB2312"/>
                <w:kern w:val="2"/>
                <w:sz w:val="21"/>
                <w:szCs w:val="21"/>
                <w:lang w:val="en-US" w:eastAsia="zh-CN" w:bidi="ar-SA"/>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1.能识别面包房常用的设备和工具；</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2.掌握设备和工具的安全操作流程和保养方法；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3.能说出岗位职责的要求、实训室卫生的标准。</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1.利用多媒体教学手段展示面包房的布局及使用的设备，教师操作实训室设备，让学生明白设备的正确操作方法；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2.分发任务单，让学生按照要求填写实训室各设备、工具的名称、使用性能以及操作注意事项；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3.每小组在教师指导下操作设备，了解设备分类、规格、使用特性、操作时的注意事项。</w:t>
            </w:r>
          </w:p>
        </w:tc>
        <w:tc>
          <w:tcPr>
            <w:tcW w:w="607"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left="0" w:firstLine="420" w:firstLineChars="20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计算原料配比</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left="0" w:firstLine="420" w:firstLineChars="200"/>
              <w:jc w:val="center"/>
              <w:textAlignment w:val="baseline"/>
              <w:rPr>
                <w:rFonts w:hint="eastAsia" w:ascii="仿宋_GB2312" w:hAnsi="仿宋_GB2312" w:eastAsia="仿宋_GB2312" w:cs="仿宋_GB2312"/>
                <w:kern w:val="2"/>
                <w:sz w:val="21"/>
                <w:szCs w:val="21"/>
                <w:lang w:val="en-US" w:eastAsia="zh-CN" w:bidi="ar-SA"/>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1.掌握面包生产的基本原料和辅助原料的计算；</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2.掌握配料表、烘焙百分率、干湿平衡的计算；</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3.掌握面包配方的计算及常用烘焙计量单位之间的换算。</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1.播放微课、微视频课前自主预习，明白基本原料和辅助原料的定义；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2.观看配料表、烘焙百分率及原料选择对成品的影响，引导学生在计算的过程中严谨、细致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3.根据教师讲解，小组合作计算出本班级人数的配料表；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4.小组讨论：原料对面包的影响及成本核算的意义？</w:t>
            </w:r>
          </w:p>
        </w:tc>
        <w:tc>
          <w:tcPr>
            <w:tcW w:w="607"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left="0" w:firstLine="420" w:firstLineChars="200"/>
              <w:jc w:val="both"/>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项目四</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制作面团</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1.说出面团制作的流程；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2.识别各原料在搅拌过程中的变化状态及影响面团搅拌的因素；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3.掌握双速双动搅拌机的运行特点。</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1.课前观看平台打面视频，自主预习；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2.课上教师引领，小组合作完成打面；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3.学生动手制作面团演示、练习。</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firstLine="420" w:firstLineChars="200"/>
              <w:jc w:val="both"/>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项目五</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甜面包</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1.说出一次发酵法、二次发酵法、快速发酵法的概念及工艺流程；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2.掌握一次发酵法的使用；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3.掌握圆甜餐包的发酵方法；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4.掌握面团的收面、分割、揉圆等手法。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5.说出实训车间的岗位分布、卫生清理的要求。</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1.分组预习三种发酵法的定义、工艺流程并总结分析每一种的优缺点；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2.教师演示，学生分组操作分割、揉圆。体会面团筋力；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3.分组操作分割、揉圆技术；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4.固定操作台，卫生责任到人。</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项目六</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spacing w:val="-3"/>
                <w:sz w:val="21"/>
                <w:szCs w:val="21"/>
              </w:rPr>
            </w:pPr>
            <w:r>
              <w:rPr>
                <w:rFonts w:hint="eastAsia" w:ascii="仿宋_GB2312" w:hAnsi="仿宋_GB2312" w:eastAsia="仿宋_GB2312" w:cs="仿宋_GB2312"/>
                <w:kern w:val="2"/>
                <w:sz w:val="21"/>
                <w:szCs w:val="21"/>
                <w:lang w:val="en-US" w:eastAsia="zh-CN" w:bidi="ar-SA"/>
              </w:rPr>
              <w:t>调理面包</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1.说出调理面包的简介及制作流程；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2.掌握面包原料成本计算的方法；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3.绘制出调理面包的制作流程；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4.掌握调理面包的饧发、整形、烤前装饰、烘烤的操作步骤及标准。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1.课前通过智慧树平台观看调理面包制作的视频；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2.教师发布任务单，学生根据任务单完成调理面包配料的准备、配料的计算、流程图的绘制；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3.在教师的带领下完成打面。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4.教师示范，面包的基本手法。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5.小组合作完成调理面包的饧发、烤前装饰、烘烤的任务。</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项目七</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吐司面包</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1.说出吐司面包的简介及制作流程；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2.掌握吐司面包原料成本计算的方法；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3.绘制出吐司面包的制作流程；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4.掌握吐司面包的卷制、饧发、烘烤的操作步骤及标准。</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1.课前通过智慧树平台观看吐司面包制作的视频；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2.教师发布任务单，学生根据任务单完成吐司面包配料的准备、配料的计算、流程图的绘制；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3.在教师带领下完成打面。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4.教师示范面包的基本手法。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5.小组合作完成调理面包的饧发、烤前装饰、烘烤的任务。</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项目八</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起酥面包</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1.说出起酥面包的简介及制作流程；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2.掌握起酥面包原料成本计算的方法；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3.绘制出起酥面包的制作流程；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4.掌握起酥面包的打面、开酥、成型、饧发、烘烤的操作步骤及标准。</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1.课前通过智慧树平台观看起酥面包制作的视频；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2.教师发布任务单，学生根据任务单完成起酥面包配料的准备、配料的计算、流程图的绘制；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3.在教师的带领下完成打面。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4.教师示范，面包的基本手法。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5.小组合作完成调理面包的饧发、烤前装饰、烘烤的任务。</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项目九</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欧式面包</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1.说出起酥面包的简介及制作流程；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2.掌握起酥面包原料成本计算的方法；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3.绘制出起酥面包的制作流程；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4.掌握起酥面包的打面、开酥、成型、饧发、烘烤的操作步骤及标准。</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1.课前通过智慧树平台观看欧式面包制作的视频；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2.教师发布任务单，学生根据任务单完成欧式面包配料的准备、配料的计算、流程图的绘制；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3.在教师的带领下完成打面。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4.教师示范，面包的基本手法。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5.小组合作完成调理面包的饧发、烤前装饰、烘烤的任务。</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项目十</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制作</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硬质面包</w:t>
            </w: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1.说出起酥面包的简介及制作流程；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2.掌握起酥面包原料成本计算的方法；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3.绘制出起酥面包的制作流程；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4.掌握起酥面包的打面、开酥、成型、饧发、烘烤的操作步骤及标准。</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1.课前通过智慧树平台观看硬质面包制作的视频；</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2.教师发布任务单，学生根据任务单完成硬质面包配料的准备、配料的计算、流程图的绘制；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3.在教师的带领下完成打面。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4.教师示范，面包的基本手法。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5.小组合作完成调理面包的饧发、烤前装饰、烘烤的任务。</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项目十一延缓面包衰老和鉴定面包品质</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1.说出面包老化的原因；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2.掌握延缓面包老化的方法；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3.说出面包品质鉴定的方法；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4.掌握鉴定的方法和手段。</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1.教师发布任务单，学生根据任务单完成面包老化和面包鉴定的基础知识的预习；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2.小组合作总结面包品质鉴定的标准；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3.在教师带领下利用感官和设备鉴定面包品质。</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ind w:firstLine="420" w:firstLineChars="200"/>
              <w:jc w:val="both"/>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p>
        </w:tc>
        <w:tc>
          <w:tcPr>
            <w:tcW w:w="652"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项目十二</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设计</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毕业展台</w:t>
            </w:r>
          </w:p>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p>
        </w:tc>
        <w:tc>
          <w:tcPr>
            <w:tcW w:w="148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1.展台的布局和面包展品的要求，确定各小组参展的面包品种；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2.展台面包品种的介绍（主要原料、内陷、价格等），面包品种的选择，在教师的指导下进行集训；</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3.保质保量完成展台面包的制作、装饰、摆台；</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4．在小组配合下完成展台布局、展示。</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5.“家长进校园”模拟演练；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6.人员的安排、工具的准备。</w:t>
            </w:r>
          </w:p>
        </w:tc>
        <w:tc>
          <w:tcPr>
            <w:tcW w:w="175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1.教师发布毕业展任务单，学生根据任务单完成小组分工、产品选择、原料申请单填写；</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2.在教师带领下完成产品设计、制作、说明牌制作等任务；</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3.小组间合作完成“家长进校园”的接待任务；</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4.小组复盘，完善流程。</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380" w:lineRule="exact"/>
              <w:jc w:val="center"/>
              <w:textAlignment w:val="baseline"/>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（1）坚持正确的育人理念，充分挖掘本课程思政元素，积极组织课程思政教育，养成餐饮从业人员职业道德意识，将立德树人贯穿于课程实施全过程。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面包制作为主体，以职业实践为主线，积极探索理论和实践相结合的教学模式，采用理实一体化教学，引导学生学生掌握烘焙技术的概述、烘焙厨房岗位职责及基本管理；具有一定的动手操作能力；掌握烘焙原料百分、成本核算、面包成产工艺流程、面包老化及品质鉴定、工具设备使用、操作注意事项；掌握典型面包品类的制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产品制作、工作流程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（1）配备本课程使用的课程资源平台和技术资料，参照技能实训室要求配齐必备的教学设备和实训器材，向学生开放，充分提高设备利用率。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（2）注重企业生产实践现场的作用，安排西点车间、中点车间、校企合作“茶点吧”实训基地，熟悉岗位操作流程，增强学生的岗位认知。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（1）教材编写以本课程标准为基本要求，编写时应将面包基础技术的理论基础与生产生活中的实际应用相结合，注重实践技能的培养，注意反映面点技艺的新知识、新技术、新工艺和新材料；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snapToGrid w:val="0"/>
        <w:spacing w:before="120" w:beforeLines="50" w:after="120" w:afterLines="50" w:line="580" w:lineRule="exact"/>
        <w:jc w:val="center"/>
        <w:rPr>
          <w:rFonts w:hint="eastAsia"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蛋糕裱花课程标准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43" w:name="_Toc4533"/>
      <w:bookmarkStart w:id="144" w:name="_Toc4351"/>
      <w:r>
        <w:rPr>
          <w:rFonts w:hint="eastAsia" w:ascii="楷体" w:hAnsi="楷体" w:eastAsia="楷体" w:cs="楷体"/>
          <w:sz w:val="32"/>
          <w:szCs w:val="32"/>
          <w:lang w:val="en-US" w:eastAsia="zh-CN"/>
        </w:rPr>
        <w:t>（一）课程性质与任务</w:t>
      </w:r>
      <w:bookmarkEnd w:id="143"/>
      <w:bookmarkEnd w:id="14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蛋糕裱花与装饰》是中西面点方向专业核心课程之一。是一门实践性很强、面向实际操作的课程。它把蛋糕制作的基本概念和人们对生活的美好愿望融入到了具体的实际操作中，对蛋糕生产的技术要求也比较高。通过本课程的学习，要求学生能够从整体上对蛋糕烘焙与裱花有一个整体的认识，并且能够运用所学的理论知识指导实际操作能力，培养学生具备裱花技术制作的基本职业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45" w:name="_Toc7583"/>
      <w:bookmarkStart w:id="146" w:name="_Toc8054"/>
      <w:r>
        <w:rPr>
          <w:rFonts w:hint="eastAsia" w:ascii="楷体" w:hAnsi="楷体" w:eastAsia="楷体" w:cs="楷体"/>
          <w:sz w:val="32"/>
          <w:szCs w:val="32"/>
          <w:lang w:val="en-US" w:eastAsia="zh-CN"/>
        </w:rPr>
        <w:t>（二）课程教学目标</w:t>
      </w:r>
      <w:bookmarkEnd w:id="145"/>
      <w:bookmarkEnd w:id="14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（1）了解不同原料对裱花蛋糕品种的影响。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（2）熟悉蛋糕裱花制作工艺流程、蛋糕原料构成及配方平衡、蛋糕膨松原理、蛋糕冷却与装饰要求、蛋糕常用装饰品制作工艺。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（3）掌握蛋糕裱花工艺及影响因素、蛋糕花边要求、蛋糕奶油裱花和豆沙裱花要求、蛋糕烘焙工艺要求与要领、蛋糕装饰方法与要求、蛋糕调色技术。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（1）能够在各类蛋糕花边裱制技巧具有较强的动手能力。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（2）能够学会蛋糕装饰方法及奶油、豆沙裱花装饰技术。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（3）能够掌握蛋糕调色技术。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（4）能够判断蛋糕质量要求及对质量问题进行分析。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（5）能够创新思路与方法，能发现和处理解决生产过程中出现的相应问题。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47" w:name="_Toc9445"/>
      <w:bookmarkStart w:id="148" w:name="_Toc7"/>
      <w:r>
        <w:rPr>
          <w:rFonts w:hint="eastAsia" w:ascii="楷体" w:hAnsi="楷体" w:eastAsia="楷体" w:cs="楷体"/>
          <w:sz w:val="32"/>
          <w:szCs w:val="32"/>
          <w:lang w:val="en-US" w:eastAsia="zh-CN"/>
        </w:rPr>
        <w:t>（三）参考学时</w:t>
      </w:r>
      <w:bookmarkEnd w:id="147"/>
      <w:bookmarkEnd w:id="14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180学时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bookmarkStart w:id="149" w:name="_Toc15205"/>
      <w:bookmarkStart w:id="150" w:name="_Toc27314"/>
      <w:r>
        <w:rPr>
          <w:rFonts w:hint="eastAsia" w:ascii="楷体" w:hAnsi="楷体" w:eastAsia="楷体" w:cs="楷体"/>
          <w:sz w:val="32"/>
          <w:szCs w:val="32"/>
          <w:lang w:val="en-US" w:eastAsia="zh-CN"/>
        </w:rPr>
        <w:t>（四）课程学分</w:t>
      </w:r>
      <w:bookmarkEnd w:id="149"/>
      <w:bookmarkEnd w:id="15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10学分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leftChars="200" w:right="0" w:rightChars="0"/>
        <w:jc w:val="center"/>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黑体" w:hAnsi="黑体" w:eastAsia="黑体" w:cs="仿宋_GB2312"/>
          <w:sz w:val="24"/>
          <w:szCs w:val="24"/>
        </w:rPr>
        <w:t>课程内容设计表</w:t>
      </w:r>
    </w:p>
    <w:tbl>
      <w:tblPr>
        <w:tblStyle w:val="16"/>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214"/>
        <w:gridCol w:w="3071"/>
        <w:gridCol w:w="2717"/>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教学项目</w:t>
            </w:r>
          </w:p>
        </w:tc>
        <w:tc>
          <w:tcPr>
            <w:tcW w:w="1665"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教学内容与教学要求</w:t>
            </w:r>
          </w:p>
        </w:tc>
        <w:tc>
          <w:tcPr>
            <w:tcW w:w="147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项目一</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概述</w:t>
            </w:r>
          </w:p>
        </w:tc>
        <w:tc>
          <w:tcPr>
            <w:tcW w:w="166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了解蛋糕产生的历史。</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了解蛋糕出现对人们生活的影响。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了解蛋糕的发展现状。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default"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了解主题裱花的发展</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掌握主题裱花的意义。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p>
        </w:tc>
        <w:tc>
          <w:tcPr>
            <w:tcW w:w="147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1.利用多媒体教学手段</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演示</w:t>
            </w:r>
            <w:r>
              <w:rPr>
                <w:rFonts w:hint="eastAsia" w:ascii="仿宋_GB2312" w:hAnsi="仿宋_GB2312" w:eastAsia="仿宋_GB2312" w:cs="仿宋_GB2312"/>
                <w:szCs w:val="21"/>
                <w:lang w:eastAsia="zh-CN"/>
              </w:rPr>
              <w:t>蛋糕生产和发展现状，</w:t>
            </w:r>
            <w:r>
              <w:rPr>
                <w:rFonts w:hint="eastAsia" w:ascii="仿宋_GB2312" w:hAnsi="仿宋_GB2312" w:eastAsia="仿宋_GB2312" w:cs="仿宋_GB2312"/>
                <w:szCs w:val="21"/>
              </w:rPr>
              <w:t>让学生</w:t>
            </w:r>
            <w:r>
              <w:rPr>
                <w:rFonts w:hint="eastAsia" w:ascii="仿宋_GB2312" w:hAnsi="仿宋_GB2312" w:eastAsia="仿宋_GB2312" w:cs="仿宋_GB2312"/>
                <w:szCs w:val="21"/>
                <w:lang w:eastAsia="zh-CN"/>
              </w:rPr>
              <w:t>蛋糕对生活的影响</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2.分发任务工单，让学生按照要求</w:t>
            </w:r>
            <w:r>
              <w:rPr>
                <w:rFonts w:hint="eastAsia" w:ascii="仿宋_GB2312" w:hAnsi="仿宋_GB2312" w:eastAsia="仿宋_GB2312" w:cs="仿宋_GB2312"/>
                <w:szCs w:val="21"/>
                <w:lang w:eastAsia="zh-CN"/>
              </w:rPr>
              <w:t>写出所熟知的各种蛋糕类型</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3.每小组在教师指导下对应典型</w:t>
            </w:r>
            <w:r>
              <w:rPr>
                <w:rFonts w:hint="eastAsia" w:ascii="仿宋_GB2312" w:hAnsi="仿宋_GB2312" w:eastAsia="仿宋_GB2312" w:cs="仿宋_GB2312"/>
                <w:szCs w:val="21"/>
                <w:lang w:eastAsia="zh-CN"/>
              </w:rPr>
              <w:t>蛋糕</w:t>
            </w:r>
            <w:r>
              <w:rPr>
                <w:rFonts w:hint="eastAsia" w:ascii="仿宋_GB2312" w:hAnsi="仿宋_GB2312" w:eastAsia="仿宋_GB2312" w:cs="仿宋_GB2312"/>
                <w:szCs w:val="21"/>
              </w:rPr>
              <w:t>，识别</w:t>
            </w:r>
            <w:r>
              <w:rPr>
                <w:rFonts w:hint="eastAsia" w:ascii="仿宋_GB2312" w:hAnsi="仿宋_GB2312" w:eastAsia="仿宋_GB2312" w:cs="仿宋_GB2312"/>
                <w:szCs w:val="21"/>
                <w:lang w:eastAsia="zh-CN"/>
              </w:rPr>
              <w:t>蛋糕</w:t>
            </w:r>
            <w:r>
              <w:rPr>
                <w:rFonts w:hint="eastAsia" w:ascii="仿宋_GB2312" w:hAnsi="仿宋_GB2312" w:eastAsia="仿宋_GB2312" w:cs="仿宋_GB2312"/>
                <w:szCs w:val="21"/>
              </w:rPr>
              <w:t>常用材料，了解材料分类、规格、使用特性和发展趋势。</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项目二</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蛋糕烘焙技术</w:t>
            </w:r>
          </w:p>
        </w:tc>
        <w:tc>
          <w:tcPr>
            <w:tcW w:w="166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1.理解蛋糕制作的原理。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2.掌握蛋糕类产品整体的制作工艺流程。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3.掌握不同类型蛋糕典型品种的做法。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r>
              <w:rPr>
                <w:rFonts w:hint="default" w:ascii="仿宋_GB2312" w:hAnsi="仿宋_GB2312" w:eastAsia="仿宋_GB2312" w:cs="仿宋_GB2312"/>
                <w:szCs w:val="21"/>
                <w:lang w:val="en-US" w:eastAsia="zh-CN"/>
              </w:rPr>
              <w:t>蛋糕的烘焙百分比</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5.熟悉蛋糕质量要求和质量问题分析。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6.掌握做蛋糕对原料的要求。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tc>
        <w:tc>
          <w:tcPr>
            <w:tcW w:w="147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1.利用多媒体教学手段，演示不同蛋糕制作原理和工艺流程，让学生有整体认知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w:t>
            </w:r>
            <w:r>
              <w:rPr>
                <w:rFonts w:hint="eastAsia" w:ascii="仿宋_GB2312" w:hAnsi="仿宋_GB2312" w:eastAsia="仿宋_GB2312" w:cs="仿宋_GB2312"/>
                <w:szCs w:val="21"/>
                <w:lang w:val="en-US" w:eastAsia="zh-CN"/>
              </w:rPr>
              <w:t>分发任务工单，让学生按照要求写出所熟知的各种蛋糕类型，并且查出各类型蛋糕的制作原料和工艺流程；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3.每小组在教师指导下对应典型蛋糕，识别蛋糕常用材料，掌握经典蛋糕的制作方法，质量标准和质量问题分析。</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项目三</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调色技术</w:t>
            </w:r>
          </w:p>
        </w:tc>
        <w:tc>
          <w:tcPr>
            <w:tcW w:w="166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1.理解调色的原理。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2.掌握蛋糕类产品调色的工艺流程。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3.掌握不同类型蛋糕典型色彩的做法。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4.熟悉调色奶油质量要求和质量问题分析。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5.掌握不同色素对原料的要求。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tc>
        <w:tc>
          <w:tcPr>
            <w:tcW w:w="147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1.利用多媒体教学手段，演示不同蛋糕调色原理和工艺流程，让学生有整体认知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w:t>
            </w:r>
            <w:r>
              <w:rPr>
                <w:rFonts w:hint="eastAsia" w:ascii="仿宋_GB2312" w:hAnsi="仿宋_GB2312" w:eastAsia="仿宋_GB2312" w:cs="仿宋_GB2312"/>
                <w:szCs w:val="21"/>
                <w:lang w:val="en-US" w:eastAsia="zh-CN"/>
              </w:rPr>
              <w:t>分发任务工单，让学生按照要求写出所熟知的各种蛋糕色彩搭配类型，并且查出各类型蛋糕调色的色素原料和工艺流程；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3.每小组在教师指导下对应典型蛋糕，识别蛋糕常用色素，掌握蛋糕调色的方法，质量标准和质量问题分析。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项目四</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奶油蛋糕装饰技术</w:t>
            </w:r>
          </w:p>
        </w:tc>
        <w:tc>
          <w:tcPr>
            <w:tcW w:w="166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1</w:t>
            </w:r>
            <w:r>
              <w:rPr>
                <w:rFonts w:hint="eastAsia" w:ascii="仿宋_GB2312" w:hAnsi="仿宋_GB2312" w:eastAsia="仿宋_GB2312" w:cs="仿宋_GB2312"/>
                <w:szCs w:val="21"/>
                <w:lang w:val="en-US" w:eastAsia="zh-CN"/>
              </w:rPr>
              <w:t>.</w:t>
            </w:r>
            <w:r>
              <w:rPr>
                <w:rFonts w:hint="default" w:ascii="仿宋_GB2312" w:hAnsi="仿宋_GB2312" w:eastAsia="仿宋_GB2312" w:cs="仿宋_GB2312"/>
                <w:szCs w:val="21"/>
                <w:lang w:val="en-US" w:eastAsia="zh-CN"/>
              </w:rPr>
              <w:t>了解蛋糕裱花的意义。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1.掌握蛋糕裱花的点、线、面基本功。</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2.掌握装饰品做法。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3.掌握复古蛋糕制作。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4.掌握花卉装饰制作。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5.掌握创意蛋糕的一-些特殊组合做法。</w:t>
            </w:r>
          </w:p>
        </w:tc>
        <w:tc>
          <w:tcPr>
            <w:tcW w:w="1473"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利用图片、动画、视频等多种手段，展示蛋糕的装饰技术，让学生对蛋糕的装饰技术有整体认知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w:t>
            </w:r>
            <w:r>
              <w:rPr>
                <w:rFonts w:hint="eastAsia" w:ascii="仿宋_GB2312" w:hAnsi="仿宋_GB2312" w:eastAsia="仿宋_GB2312" w:cs="仿宋_GB2312"/>
                <w:szCs w:val="21"/>
                <w:lang w:val="en-US" w:eastAsia="zh-CN"/>
              </w:rPr>
              <w:t>分发任务工单，让学生按照要求查阅资料，写下不同奶油蛋糕装饰技术所用到的方法技巧；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3.每小组在教师指导下对应奶油蛋糕，掌握奶油蛋糕装饰技术中点、线、面以及装饰品、花卉的制作方法，质量标准和质量问题分析；能够在熟练掌握的基础上进行创新。</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3"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项目五</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韩式豆沙裱花蛋糕装饰技术</w:t>
            </w:r>
          </w:p>
        </w:tc>
        <w:tc>
          <w:tcPr>
            <w:tcW w:w="166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1.掌握蛋糕裱花的原料调制基本功。</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2.掌握常用的花卉做法和不同花卉</w:t>
            </w:r>
            <w:r>
              <w:rPr>
                <w:rFonts w:hint="default" w:ascii="仿宋_GB2312" w:hAnsi="仿宋_GB2312" w:eastAsia="仿宋_GB2312" w:cs="仿宋_GB2312"/>
                <w:szCs w:val="21"/>
                <w:lang w:val="en-US" w:eastAsia="zh-CN"/>
              </w:rPr>
              <w:t>的</w:t>
            </w:r>
            <w:r>
              <w:rPr>
                <w:rFonts w:hint="eastAsia" w:ascii="仿宋_GB2312" w:hAnsi="仿宋_GB2312" w:eastAsia="仿宋_GB2312" w:cs="仿宋_GB2312"/>
                <w:szCs w:val="21"/>
                <w:lang w:val="en-US" w:eastAsia="zh-CN"/>
              </w:rPr>
              <w:t>裱制技巧</w:t>
            </w:r>
            <w:r>
              <w:rPr>
                <w:rFonts w:hint="default"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3.掌握多种叶子装饰制作。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4.掌握韩式创意蛋糕的一-些特殊组合做法。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p>
        </w:tc>
        <w:tc>
          <w:tcPr>
            <w:tcW w:w="1473" w:type="pct"/>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1.利用图片、动画、视频等多种手段，展示韩式豆沙裱花蛋糕的装饰技术，让学生对韩式蛋糕的装饰技术有整体认知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default" w:ascii="仿宋_GB2312" w:hAnsi="仿宋_GB2312" w:eastAsia="仿宋_GB2312" w:cs="仿宋_GB2312"/>
                <w:szCs w:val="21"/>
                <w:lang w:val="en-US" w:eastAsia="zh-CN"/>
              </w:rPr>
              <w:t>2.</w:t>
            </w:r>
            <w:r>
              <w:rPr>
                <w:rFonts w:hint="eastAsia" w:ascii="仿宋_GB2312" w:hAnsi="仿宋_GB2312" w:eastAsia="仿宋_GB2312" w:cs="仿宋_GB2312"/>
                <w:szCs w:val="21"/>
                <w:lang w:val="en-US" w:eastAsia="zh-CN"/>
              </w:rPr>
              <w:t>分发任务工单，让学生按照要求查阅资料，写下不同韩式豆沙裱花蛋糕装饰技术所用到的方法技巧；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3.每小组在教师指导下对应韩式豆沙裱花蛋糕，掌握蛋糕装饰技术中花卉、叶子以及装饰品的制作方法，质量标准和质量问题分析；能够在熟练掌握的基础上进行创新组合。</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54</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仿宋_GB2312" w:eastAsia="楷体_GB2312" w:cs="仿宋_GB2312"/>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采取案例分析法、提问法、现场演示法等灵活多样的教学方法，针对不同的学习内容和学生个体差异，采用小组合作的学习方式，促进学生在教师指导下主动地、富有个性地学习。以工作任务为出发点来激发学生的学习兴趣，教学过程中注重学生自主学习，引导学生从多个角度提出问题，用多种方法解决问题，运用多种信息技术手段丰富教学内容，提高教学效果培养学生分析问题、解决问题和实际操作能力。教学中注意创设、模拟工作任务情景，采取理论实践一体化教学模式。针对不同的工作任务情景，选用不同特点的教学方法，建议采用的教学方法如表1所示。</w:t>
      </w:r>
    </w:p>
    <w:p>
      <w:pPr>
        <w:adjustRightInd w:val="0"/>
        <w:snapToGrid w:val="0"/>
        <w:spacing w:line="440" w:lineRule="exact"/>
        <w:jc w:val="center"/>
        <w:rPr>
          <w:rFonts w:hint="eastAsia" w:ascii="黑体" w:hAnsi="黑体" w:eastAsia="黑体" w:cs="仿宋_GB2312"/>
          <w:sz w:val="24"/>
          <w:szCs w:val="24"/>
          <w:lang w:eastAsia="zh-CN"/>
        </w:rPr>
      </w:pPr>
      <w:r>
        <w:rPr>
          <w:rFonts w:hint="eastAsia" w:ascii="黑体" w:hAnsi="黑体" w:eastAsia="黑体" w:cs="仿宋_GB2312"/>
          <w:sz w:val="24"/>
          <w:szCs w:val="24"/>
          <w:lang w:eastAsia="zh-CN"/>
        </w:rPr>
        <w:t>表</w:t>
      </w:r>
      <w:r>
        <w:rPr>
          <w:rFonts w:hint="eastAsia" w:ascii="黑体" w:hAnsi="黑体" w:eastAsia="黑体" w:cs="仿宋_GB2312"/>
          <w:sz w:val="24"/>
          <w:szCs w:val="24"/>
          <w:lang w:val="en-US" w:eastAsia="zh-CN"/>
        </w:rPr>
        <w:t xml:space="preserve">1  </w:t>
      </w:r>
      <w:r>
        <w:rPr>
          <w:rFonts w:hint="eastAsia" w:ascii="黑体" w:hAnsi="黑体" w:eastAsia="黑体" w:cs="仿宋_GB2312"/>
          <w:sz w:val="24"/>
          <w:szCs w:val="24"/>
          <w:lang w:eastAsia="zh-CN"/>
        </w:rPr>
        <w:t>学习情境采用的教学法对应表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3435"/>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02" w:type="dxa"/>
          </w:tcPr>
          <w:p>
            <w:pPr>
              <w:adjustRightInd w:val="0"/>
              <w:snapToGrid w:val="0"/>
              <w:spacing w:line="440" w:lineRule="exact"/>
              <w:jc w:val="center"/>
              <w:rPr>
                <w:rFonts w:hint="eastAsia" w:ascii="黑体" w:hAnsi="黑体" w:eastAsia="黑体"/>
                <w:szCs w:val="21"/>
                <w:lang w:eastAsia="zh-CN"/>
              </w:rPr>
            </w:pPr>
            <w:r>
              <w:rPr>
                <w:rFonts w:hint="eastAsia" w:ascii="黑体" w:hAnsi="黑体" w:eastAsia="黑体"/>
                <w:szCs w:val="21"/>
                <w:lang w:eastAsia="zh-CN"/>
              </w:rPr>
              <w:t>序号</w:t>
            </w:r>
          </w:p>
        </w:tc>
        <w:tc>
          <w:tcPr>
            <w:tcW w:w="3435" w:type="dxa"/>
          </w:tcPr>
          <w:p>
            <w:pPr>
              <w:adjustRightInd w:val="0"/>
              <w:snapToGrid w:val="0"/>
              <w:spacing w:line="440" w:lineRule="exact"/>
              <w:jc w:val="center"/>
              <w:rPr>
                <w:rFonts w:hint="eastAsia" w:ascii="黑体" w:hAnsi="黑体" w:eastAsia="黑体"/>
                <w:szCs w:val="21"/>
                <w:lang w:eastAsia="zh-CN"/>
              </w:rPr>
            </w:pPr>
            <w:r>
              <w:rPr>
                <w:rFonts w:hint="eastAsia" w:ascii="黑体" w:hAnsi="黑体" w:eastAsia="黑体"/>
                <w:szCs w:val="21"/>
                <w:lang w:eastAsia="zh-CN"/>
              </w:rPr>
              <w:t>教学内容</w:t>
            </w:r>
          </w:p>
        </w:tc>
        <w:tc>
          <w:tcPr>
            <w:tcW w:w="4365" w:type="dxa"/>
          </w:tcPr>
          <w:p>
            <w:pPr>
              <w:adjustRightInd w:val="0"/>
              <w:snapToGrid w:val="0"/>
              <w:spacing w:line="440" w:lineRule="exact"/>
              <w:jc w:val="center"/>
              <w:rPr>
                <w:rFonts w:hint="eastAsia" w:ascii="黑体" w:hAnsi="黑体" w:eastAsia="黑体"/>
                <w:szCs w:val="21"/>
                <w:lang w:eastAsia="zh-CN"/>
              </w:rPr>
            </w:pPr>
            <w:r>
              <w:rPr>
                <w:rFonts w:hint="eastAsia" w:ascii="黑体" w:hAnsi="黑体" w:eastAsia="黑体"/>
                <w:szCs w:val="21"/>
                <w:lang w:eastAsia="zh-CN"/>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熟悉蛋糕原理与工艺流程</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讲授法、多媒体反映法、提问法、讨论法、案例分析法、小组合作法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了解主题裱花的发展状况，对人们的影响、意义、表现形式</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讲授法、多媒体反映法、提问法、讨论法、案例分析法、小组合作法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蛋糕烘培技术基本运用能力与实操的基础能力指导</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讲授法、多媒体反映法、现场指导法、案例分析法、小组合作法、演示互动法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蛋糕调色技术基本运用能力与实操的基础能力指导</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讲授法、多媒体反映法、现场指导法、案例分析法、小组合作法、演示互动法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掌握裱花的点、线、面基本要领，蛋糕裱花的一些特殊表现手法</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讲授法、多媒体反映法、现场指导法、案例分析法、小组合作法、演示互动法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34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掌握豆沙调制，平花，立花，叶子裱制基本要领，蛋糕裱花的一些特殊表现手法</w:t>
            </w:r>
          </w:p>
        </w:tc>
        <w:tc>
          <w:tcPr>
            <w:tcW w:w="436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讲授法、多媒体反映法、现场指导法、案例分析法、小组合作法、演示互动法</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w:t>
      </w:r>
      <w:r>
        <w:rPr>
          <w:rFonts w:hint="eastAsia" w:ascii="仿宋_GB2312" w:hAnsi="仿宋_GB2312" w:eastAsia="仿宋_GB2312" w:cs="仿宋_GB2312"/>
          <w:sz w:val="32"/>
          <w:szCs w:val="32"/>
          <w:lang w:eastAsia="zh-CN"/>
        </w:rPr>
        <w:t>学习</w:t>
      </w:r>
      <w:r>
        <w:rPr>
          <w:rFonts w:hint="eastAsia" w:ascii="仿宋_GB2312" w:hAnsi="仿宋_GB2312" w:eastAsia="仿宋_GB2312" w:cs="仿宋_GB2312"/>
          <w:sz w:val="32"/>
          <w:szCs w:val="32"/>
        </w:rPr>
        <w:t>手册和技术资料，参照技能实训室实训设备配备标准配齐必备的教学设备和实训器材，定期向学生开放，充分提高设备利用率。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w:t>
      </w:r>
      <w:r>
        <w:rPr>
          <w:rFonts w:hint="eastAsia" w:ascii="仿宋_GB2312" w:hAnsi="仿宋_GB2312" w:eastAsia="仿宋_GB2312" w:cs="仿宋_GB2312"/>
          <w:sz w:val="32"/>
          <w:szCs w:val="32"/>
          <w:lang w:eastAsia="zh-CN"/>
        </w:rPr>
        <w:t>面点裱花车间、西点车间</w:t>
      </w:r>
      <w:r>
        <w:rPr>
          <w:rFonts w:hint="eastAsia" w:ascii="仿宋_GB2312" w:hAnsi="仿宋_GB2312" w:eastAsia="仿宋_GB2312" w:cs="仿宋_GB2312"/>
          <w:sz w:val="32"/>
          <w:szCs w:val="32"/>
        </w:rPr>
        <w:t>的参观学习，熟悉</w:t>
      </w:r>
      <w:r>
        <w:rPr>
          <w:rFonts w:hint="eastAsia" w:ascii="仿宋_GB2312" w:hAnsi="仿宋_GB2312" w:eastAsia="仿宋_GB2312" w:cs="仿宋_GB2312"/>
          <w:sz w:val="32"/>
          <w:szCs w:val="32"/>
          <w:lang w:eastAsia="zh-CN"/>
        </w:rPr>
        <w:t>裱花车间</w:t>
      </w:r>
      <w:r>
        <w:rPr>
          <w:rFonts w:hint="eastAsia" w:ascii="仿宋_GB2312" w:hAnsi="仿宋_GB2312" w:eastAsia="仿宋_GB2312" w:cs="仿宋_GB2312"/>
          <w:sz w:val="32"/>
          <w:szCs w:val="32"/>
        </w:rPr>
        <w:t>的使用，增强学生的感性认识。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w:t>
      </w:r>
      <w:r>
        <w:rPr>
          <w:rFonts w:hint="eastAsia" w:ascii="仿宋_GB2312" w:hAnsi="仿宋_GB2312" w:eastAsia="仿宋_GB2312" w:cs="仿宋_GB2312"/>
          <w:sz w:val="32"/>
          <w:szCs w:val="32"/>
          <w:lang w:eastAsia="zh-CN"/>
        </w:rPr>
        <w:t>蛋糕裱花</w:t>
      </w:r>
      <w:r>
        <w:rPr>
          <w:rFonts w:hint="eastAsia" w:ascii="仿宋_GB2312" w:hAnsi="仿宋_GB2312" w:eastAsia="仿宋_GB2312" w:cs="仿宋_GB2312"/>
          <w:sz w:val="32"/>
          <w:szCs w:val="32"/>
        </w:rPr>
        <w:t>技术的基本原理与生产生活中的实际应用相结合，注重实践技能的培养，注意反映</w:t>
      </w:r>
      <w:r>
        <w:rPr>
          <w:rFonts w:hint="eastAsia" w:ascii="仿宋_GB2312" w:hAnsi="仿宋_GB2312" w:eastAsia="仿宋_GB2312" w:cs="仿宋_GB2312"/>
          <w:sz w:val="32"/>
          <w:szCs w:val="32"/>
          <w:lang w:eastAsia="zh-CN"/>
        </w:rPr>
        <w:t>裱花</w:t>
      </w:r>
      <w:r>
        <w:rPr>
          <w:rFonts w:hint="eastAsia" w:ascii="仿宋_GB2312" w:hAnsi="仿宋_GB2312" w:eastAsia="仿宋_GB2312" w:cs="仿宋_GB2312"/>
          <w:sz w:val="32"/>
          <w:szCs w:val="32"/>
        </w:rPr>
        <w:t>技术领域的新知识、新技术、新工艺和新材料。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hint="eastAsia" w:ascii="仿宋_GB2312" w:hAnsi="仿宋_GB2312" w:eastAsia="仿宋_GB2312" w:cs="仿宋_GB2312"/>
          <w:sz w:val="32"/>
          <w:szCs w:val="32"/>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autoSpaceDE w:val="0"/>
        <w:autoSpaceDN w:val="0"/>
        <w:adjustRightInd w:val="0"/>
        <w:spacing w:line="520" w:lineRule="exact"/>
        <w:rPr>
          <w:rFonts w:hint="eastAsia" w:ascii="宋体" w:hAnsi="宋体" w:cs="宋体"/>
          <w:sz w:val="24"/>
        </w:rPr>
      </w:pPr>
    </w:p>
    <w:p>
      <w:pPr>
        <w:keepNext w:val="0"/>
        <w:keepLines w:val="0"/>
        <w:pageBreakBefore w:val="0"/>
        <w:widowControl w:val="0"/>
        <w:kinsoku/>
        <w:wordWrap/>
        <w:overflowPunct/>
        <w:topLinePunct w:val="0"/>
        <w:autoSpaceDE/>
        <w:autoSpaceDN/>
        <w:bidi w:val="0"/>
        <w:adjustRightInd/>
        <w:snapToGrid w:val="0"/>
        <w:spacing w:after="144" w:afterLines="50" w:line="560" w:lineRule="exact"/>
        <w:jc w:val="center"/>
        <w:textAlignment w:val="auto"/>
        <w:rPr>
          <w:rFonts w:hint="eastAsia"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花饽饽制作课程标准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eastAsia="zh-CN"/>
        </w:rPr>
      </w:pPr>
      <w:bookmarkStart w:id="151" w:name="_Toc12084"/>
      <w:bookmarkStart w:id="152" w:name="_Toc12403"/>
      <w:r>
        <w:rPr>
          <w:rFonts w:hint="eastAsia" w:ascii="楷体" w:hAnsi="楷体" w:eastAsia="楷体" w:cs="楷体"/>
          <w:sz w:val="32"/>
          <w:szCs w:val="32"/>
          <w:lang w:eastAsia="zh-CN"/>
        </w:rPr>
        <w:t>（一）课程性质与任务</w:t>
      </w:r>
      <w:bookmarkEnd w:id="151"/>
      <w:bookmarkEnd w:id="152"/>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w:t>
      </w:r>
      <w:r>
        <w:rPr>
          <w:rFonts w:hint="eastAsia" w:ascii="仿宋_GB2312" w:hAnsi="仿宋_GB2312" w:eastAsia="仿宋_GB2312" w:cs="仿宋_GB2312"/>
          <w:sz w:val="32"/>
          <w:szCs w:val="32"/>
          <w:lang w:eastAsia="zh-CN"/>
        </w:rPr>
        <w:t>中西面点</w:t>
      </w:r>
      <w:r>
        <w:rPr>
          <w:rFonts w:hint="eastAsia" w:ascii="仿宋_GB2312" w:hAnsi="仿宋_GB2312" w:eastAsia="仿宋_GB2312" w:cs="仿宋_GB2312"/>
          <w:sz w:val="32"/>
          <w:szCs w:val="32"/>
        </w:rPr>
        <w:t>专业的一门专业</w:t>
      </w:r>
      <w:r>
        <w:rPr>
          <w:rFonts w:hint="eastAsia" w:ascii="仿宋_GB2312" w:hAnsi="仿宋_GB2312" w:eastAsia="仿宋_GB2312" w:cs="仿宋_GB2312"/>
          <w:sz w:val="32"/>
          <w:szCs w:val="32"/>
          <w:lang w:eastAsia="zh-CN"/>
        </w:rPr>
        <w:t>核心</w:t>
      </w:r>
      <w:r>
        <w:rPr>
          <w:rFonts w:hint="eastAsia" w:ascii="仿宋_GB2312" w:hAnsi="仿宋_GB2312" w:eastAsia="仿宋_GB2312" w:cs="仿宋_GB2312"/>
          <w:sz w:val="32"/>
          <w:szCs w:val="32"/>
        </w:rPr>
        <w:t>课程。通过学习花饽饽的传承历史和民俗文化，使学生了解山东地域的特色民俗面食和相关民俗仪式活动；通过学习制作蒿酵、运用天然食用色素原料调色、揉、搓、捏、剪、压、刻等手法使同学们掌握花饽饽制作的传统技艺技法，具备根据客户需求制作花饽饽组合的能力和根据市场发展趋势挖掘新原料、开发新产品的能力，为后续其他专业课程学习打下必要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eastAsia="zh-CN"/>
        </w:rPr>
      </w:pPr>
      <w:bookmarkStart w:id="153" w:name="_Toc3429"/>
      <w:bookmarkStart w:id="154" w:name="_Toc14589"/>
      <w:r>
        <w:rPr>
          <w:rFonts w:hint="eastAsia" w:ascii="楷体" w:hAnsi="楷体" w:eastAsia="楷体" w:cs="楷体"/>
          <w:sz w:val="32"/>
          <w:szCs w:val="32"/>
          <w:lang w:eastAsia="zh-CN"/>
        </w:rPr>
        <w:t>（二）课程教学目标</w:t>
      </w:r>
      <w:bookmarkEnd w:id="153"/>
      <w:bookmarkEnd w:id="15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（2）具有良好的思想品德修养和职业道德素养；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（3）具有严谨的学习态度，良好的学习习惯；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w:t>
      </w:r>
      <w:r>
        <w:rPr>
          <w:rFonts w:hint="eastAsia" w:ascii="仿宋_GB2312" w:hAnsi="仿宋_GB2312" w:eastAsia="仿宋_GB2312" w:cs="仿宋_GB2312"/>
          <w:sz w:val="32"/>
          <w:szCs w:val="32"/>
          <w:lang w:eastAsia="zh-CN"/>
        </w:rPr>
        <w:t>较好</w:t>
      </w:r>
      <w:r>
        <w:rPr>
          <w:rFonts w:hint="eastAsia" w:ascii="仿宋_GB2312" w:hAnsi="仿宋_GB2312" w:eastAsia="仿宋_GB2312" w:cs="仿宋_GB2312"/>
          <w:sz w:val="32"/>
          <w:szCs w:val="32"/>
        </w:rPr>
        <w:t>的审美能力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文化品位和精益求精的工作态度；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具有</w:t>
      </w:r>
      <w:r>
        <w:rPr>
          <w:rFonts w:hint="eastAsia" w:ascii="仿宋_GB2312" w:hAnsi="仿宋_GB2312" w:eastAsia="仿宋_GB2312" w:cs="仿宋_GB2312"/>
          <w:sz w:val="32"/>
          <w:szCs w:val="32"/>
        </w:rPr>
        <w:t>诚实、守信、积极沟通和团结合作的品质；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（6）具有</w:t>
      </w:r>
      <w:r>
        <w:rPr>
          <w:rFonts w:hint="eastAsia" w:ascii="仿宋_GB2312" w:hAnsi="仿宋_GB2312" w:eastAsia="仿宋_GB2312" w:cs="仿宋_GB2312"/>
          <w:sz w:val="32"/>
          <w:szCs w:val="32"/>
          <w:lang w:eastAsia="zh-CN"/>
        </w:rPr>
        <w:t>尊崇传统饮食文化和</w:t>
      </w:r>
      <w:r>
        <w:rPr>
          <w:rFonts w:hint="eastAsia" w:ascii="仿宋_GB2312" w:hAnsi="仿宋_GB2312" w:eastAsia="仿宋_GB2312" w:cs="仿宋_GB2312"/>
          <w:sz w:val="32"/>
          <w:szCs w:val="32"/>
        </w:rPr>
        <w:t>开拓创新的工匠精神。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熟知花饽饽的历史和相关民俗文化；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（2）掌握</w:t>
      </w:r>
      <w:r>
        <w:rPr>
          <w:rFonts w:hint="eastAsia" w:ascii="仿宋_GB2312" w:hAnsi="仿宋_GB2312" w:eastAsia="仿宋_GB2312" w:cs="仿宋_GB2312"/>
          <w:sz w:val="32"/>
          <w:szCs w:val="32"/>
          <w:lang w:eastAsia="zh-CN"/>
        </w:rPr>
        <w:t>花饽饽原料选料的依据，并能根据制品需求选用原料及调配面团成分的比例</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（3）掌握</w:t>
      </w:r>
      <w:r>
        <w:rPr>
          <w:rFonts w:hint="eastAsia" w:ascii="仿宋_GB2312" w:hAnsi="仿宋_GB2312" w:eastAsia="仿宋_GB2312" w:cs="仿宋_GB2312"/>
          <w:sz w:val="32"/>
          <w:szCs w:val="32"/>
          <w:lang w:eastAsia="zh-CN"/>
        </w:rPr>
        <w:t>花饽饽调色原理，能使用适当的天然原料调制彩色面团</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（4）掌握</w:t>
      </w:r>
      <w:r>
        <w:rPr>
          <w:rFonts w:hint="eastAsia" w:ascii="仿宋_GB2312" w:hAnsi="仿宋_GB2312" w:eastAsia="仿宋_GB2312" w:cs="仿宋_GB2312"/>
          <w:sz w:val="32"/>
          <w:szCs w:val="32"/>
          <w:lang w:eastAsia="zh-CN"/>
        </w:rPr>
        <w:t>花饽饽制作的造型技法，能根据造型特点灵活运用各种技法完成</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（5）掌握</w:t>
      </w:r>
      <w:r>
        <w:rPr>
          <w:rFonts w:hint="eastAsia" w:ascii="仿宋_GB2312" w:hAnsi="仿宋_GB2312" w:eastAsia="仿宋_GB2312" w:cs="仿宋_GB2312"/>
          <w:sz w:val="32"/>
          <w:szCs w:val="32"/>
          <w:lang w:eastAsia="zh-CN"/>
        </w:rPr>
        <w:t>花饽饽发酵及熟制的原理和蒿酵的制作方法，能根据气候变化和温度、湿度等具体环境因素掌握制品发酵程度的判断，以及调整发酵时间、温度、湿度等</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掌握花饽饽组合的寓意、配色和组装知识，能根据生产需求设计、制作以及拓展创新</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（1）能够对</w:t>
      </w:r>
      <w:r>
        <w:rPr>
          <w:rFonts w:hint="eastAsia" w:ascii="仿宋_GB2312" w:hAnsi="仿宋_GB2312" w:eastAsia="仿宋_GB2312" w:cs="仿宋_GB2312"/>
          <w:sz w:val="32"/>
          <w:szCs w:val="32"/>
          <w:lang w:eastAsia="zh-CN"/>
        </w:rPr>
        <w:t>食材原料</w:t>
      </w:r>
      <w:r>
        <w:rPr>
          <w:rFonts w:hint="eastAsia" w:ascii="仿宋_GB2312" w:hAnsi="仿宋_GB2312" w:eastAsia="仿宋_GB2312" w:cs="仿宋_GB2312"/>
          <w:sz w:val="32"/>
          <w:szCs w:val="32"/>
        </w:rPr>
        <w:t>辨别和分析，正确选择、使用</w:t>
      </w:r>
      <w:r>
        <w:rPr>
          <w:rFonts w:hint="default" w:ascii="仿宋_GB2312" w:hAnsi="仿宋_GB2312" w:eastAsia="仿宋_GB2312" w:cs="仿宋_GB2312"/>
          <w:sz w:val="32"/>
          <w:szCs w:val="32"/>
          <w:lang w:eastAsia="zh-CN"/>
        </w:rPr>
        <w:t>原料</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（2）能</w:t>
      </w:r>
      <w:r>
        <w:rPr>
          <w:rFonts w:hint="default" w:ascii="仿宋_GB2312" w:hAnsi="仿宋_GB2312" w:eastAsia="仿宋_GB2312" w:cs="仿宋_GB2312"/>
          <w:sz w:val="32"/>
          <w:szCs w:val="32"/>
        </w:rPr>
        <w:t>够制作植物、动物</w:t>
      </w:r>
      <w:r>
        <w:rPr>
          <w:rFonts w:hint="eastAsia" w:ascii="仿宋_GB2312" w:hAnsi="仿宋_GB2312" w:eastAsia="仿宋_GB2312" w:cs="仿宋_GB2312"/>
          <w:sz w:val="32"/>
          <w:szCs w:val="32"/>
          <w:lang w:eastAsia="zh-CN"/>
        </w:rPr>
        <w:t>、卡通形象</w:t>
      </w:r>
      <w:r>
        <w:rPr>
          <w:rFonts w:hint="default"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多种造型</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（3）能够</w:t>
      </w:r>
      <w:r>
        <w:rPr>
          <w:rFonts w:hint="eastAsia" w:ascii="仿宋_GB2312" w:hAnsi="仿宋_GB2312" w:eastAsia="仿宋_GB2312" w:cs="仿宋_GB2312"/>
          <w:sz w:val="32"/>
          <w:szCs w:val="32"/>
          <w:lang w:eastAsia="zh-CN"/>
        </w:rPr>
        <w:t>熟练掌握不同规格花饽饽生坯的醒发和成熟工艺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（4）能够</w:t>
      </w:r>
      <w:r>
        <w:rPr>
          <w:rFonts w:hint="default" w:ascii="仿宋_GB2312" w:hAnsi="仿宋_GB2312" w:eastAsia="仿宋_GB2312" w:cs="仿宋_GB2312"/>
          <w:sz w:val="32"/>
          <w:szCs w:val="32"/>
        </w:rPr>
        <w:t>制作各种主题的花饽饽常用组合并</w:t>
      </w:r>
      <w:r>
        <w:rPr>
          <w:rFonts w:hint="eastAsia" w:ascii="仿宋_GB2312" w:hAnsi="仿宋_GB2312" w:eastAsia="仿宋_GB2312" w:cs="仿宋_GB2312"/>
          <w:sz w:val="32"/>
          <w:szCs w:val="32"/>
          <w:lang w:eastAsia="zh-CN"/>
        </w:rPr>
        <w:t>将组件组装成稳固的组合造型</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（5）能够</w:t>
      </w:r>
      <w:r>
        <w:rPr>
          <w:rFonts w:hint="eastAsia" w:ascii="仿宋_GB2312" w:hAnsi="仿宋_GB2312" w:eastAsia="仿宋_GB2312" w:cs="仿宋_GB2312"/>
          <w:sz w:val="32"/>
          <w:szCs w:val="32"/>
          <w:lang w:eastAsia="zh-CN"/>
        </w:rPr>
        <w:t>吸收流行、传统等元素进行花饽饽组合主题创意设计</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（6）能够</w:t>
      </w:r>
      <w:r>
        <w:rPr>
          <w:rFonts w:hint="default" w:ascii="仿宋_GB2312" w:hAnsi="仿宋_GB2312" w:eastAsia="仿宋_GB2312" w:cs="仿宋_GB2312"/>
          <w:sz w:val="32"/>
          <w:szCs w:val="32"/>
        </w:rPr>
        <w:t>不断学习花饽饽制作的新兴工艺，精益求精</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bookmarkStart w:id="155" w:name="_Toc20704"/>
      <w:bookmarkStart w:id="156" w:name="_Toc10036"/>
      <w:r>
        <w:rPr>
          <w:rFonts w:hint="eastAsia" w:ascii="楷体" w:hAnsi="楷体" w:eastAsia="楷体" w:cs="楷体"/>
          <w:sz w:val="32"/>
          <w:szCs w:val="32"/>
          <w:lang w:eastAsia="zh-CN"/>
        </w:rPr>
        <w:t>（三）</w:t>
      </w:r>
      <w:r>
        <w:rPr>
          <w:rFonts w:hint="eastAsia" w:ascii="楷体" w:hAnsi="楷体" w:eastAsia="楷体" w:cs="楷体"/>
          <w:sz w:val="32"/>
          <w:szCs w:val="32"/>
        </w:rPr>
        <w:t xml:space="preserve"> 参考学时</w:t>
      </w:r>
      <w:bookmarkEnd w:id="155"/>
      <w:bookmarkEnd w:id="156"/>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bookmarkStart w:id="157" w:name="_Toc18508"/>
      <w:bookmarkStart w:id="158" w:name="_Toc2215"/>
      <w:r>
        <w:rPr>
          <w:rFonts w:hint="eastAsia" w:ascii="楷体" w:hAnsi="楷体" w:eastAsia="楷体" w:cs="楷体"/>
          <w:sz w:val="32"/>
          <w:szCs w:val="32"/>
          <w:lang w:eastAsia="zh-CN"/>
        </w:rPr>
        <w:t>（四）</w:t>
      </w:r>
      <w:r>
        <w:rPr>
          <w:rFonts w:hint="eastAsia" w:ascii="楷体" w:hAnsi="楷体" w:eastAsia="楷体" w:cs="楷体"/>
          <w:sz w:val="32"/>
          <w:szCs w:val="32"/>
        </w:rPr>
        <w:t>课程学分</w:t>
      </w:r>
      <w:bookmarkEnd w:id="157"/>
      <w:bookmarkEnd w:id="158"/>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学分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 五 ) 课程内容和要求</w:t>
      </w:r>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056"/>
        <w:gridCol w:w="269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cs="仿宋_GB2312"/>
                <w:sz w:val="24"/>
                <w:szCs w:val="24"/>
              </w:rPr>
            </w:pPr>
            <w:r>
              <w:rPr>
                <w:rFonts w:hint="eastAsia" w:ascii="黑体" w:hAnsi="黑体" w:eastAsia="黑体" w:cs="仿宋_GB2312"/>
                <w:sz w:val="24"/>
                <w:szCs w:val="24"/>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cs="仿宋_GB2312"/>
                <w:sz w:val="24"/>
                <w:szCs w:val="24"/>
              </w:rPr>
            </w:pPr>
            <w:r>
              <w:rPr>
                <w:rFonts w:hint="eastAsia" w:ascii="黑体" w:hAnsi="黑体" w:eastAsia="黑体" w:cs="仿宋_GB2312"/>
                <w:sz w:val="24"/>
                <w:szCs w:val="24"/>
              </w:rPr>
              <w:t>教学项目</w:t>
            </w:r>
          </w:p>
        </w:tc>
        <w:tc>
          <w:tcPr>
            <w:tcW w:w="1666"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cs="仿宋_GB2312"/>
                <w:sz w:val="24"/>
                <w:szCs w:val="24"/>
              </w:rPr>
            </w:pPr>
            <w:r>
              <w:rPr>
                <w:rFonts w:hint="eastAsia" w:ascii="黑体" w:hAnsi="黑体" w:eastAsia="黑体" w:cs="仿宋_GB2312"/>
                <w:sz w:val="24"/>
                <w:szCs w:val="24"/>
              </w:rPr>
              <w:t>教学内容与教学要求</w:t>
            </w:r>
          </w:p>
        </w:tc>
        <w:tc>
          <w:tcPr>
            <w:tcW w:w="1471"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cs="仿宋_GB2312"/>
                <w:sz w:val="24"/>
                <w:szCs w:val="24"/>
              </w:rPr>
            </w:pPr>
            <w:r>
              <w:rPr>
                <w:rFonts w:hint="eastAsia" w:ascii="黑体" w:hAnsi="黑体" w:eastAsia="黑体" w:cs="仿宋_GB2312"/>
                <w:sz w:val="24"/>
                <w:szCs w:val="24"/>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cs="仿宋_GB2312"/>
                <w:sz w:val="24"/>
                <w:szCs w:val="24"/>
              </w:rPr>
            </w:pPr>
            <w:r>
              <w:rPr>
                <w:rFonts w:hint="eastAsia" w:ascii="黑体" w:hAnsi="黑体" w:eastAsia="黑体" w:cs="仿宋_GB2312"/>
                <w:sz w:val="24"/>
                <w:szCs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项目一</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花饽饽的</w:t>
            </w:r>
            <w:r>
              <w:rPr>
                <w:rFonts w:hint="eastAsia" w:ascii="仿宋_GB2312" w:hAnsi="仿宋_GB2312" w:eastAsia="仿宋_GB2312" w:cs="仿宋_GB2312"/>
                <w:szCs w:val="21"/>
              </w:rPr>
              <w:t>的传承历史和民俗文化</w:t>
            </w:r>
          </w:p>
        </w:tc>
        <w:tc>
          <w:tcPr>
            <w:tcW w:w="1666"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w:t>
            </w:r>
            <w:r>
              <w:rPr>
                <w:rFonts w:hint="default" w:ascii="仿宋_GB2312" w:hAnsi="仿宋_GB2312" w:eastAsia="仿宋_GB2312" w:cs="仿宋_GB2312"/>
                <w:kern w:val="2"/>
                <w:sz w:val="21"/>
                <w:szCs w:val="21"/>
                <w:lang w:val="en-US" w:eastAsia="zh-CN" w:bidi="ar-SA"/>
              </w:rPr>
              <w:t>花饽饽</w:t>
            </w:r>
            <w:r>
              <w:rPr>
                <w:rFonts w:hint="eastAsia" w:ascii="仿宋_GB2312" w:hAnsi="仿宋_GB2312" w:eastAsia="仿宋_GB2312" w:cs="仿宋_GB2312"/>
                <w:kern w:val="2"/>
                <w:sz w:val="21"/>
                <w:szCs w:val="21"/>
                <w:lang w:val="en-US" w:eastAsia="zh-CN" w:bidi="ar-SA"/>
              </w:rPr>
              <w:t>的传承</w:t>
            </w:r>
            <w:r>
              <w:rPr>
                <w:rFonts w:hint="default" w:ascii="仿宋_GB2312" w:hAnsi="仿宋_GB2312" w:eastAsia="仿宋_GB2312" w:cs="仿宋_GB2312"/>
                <w:kern w:val="2"/>
                <w:sz w:val="21"/>
                <w:szCs w:val="21"/>
                <w:lang w:val="en-US" w:eastAsia="zh-CN" w:bidi="ar-SA"/>
              </w:rPr>
              <w:t>和发展</w:t>
            </w:r>
            <w:r>
              <w:rPr>
                <w:rFonts w:hint="eastAsia" w:ascii="仿宋_GB2312" w:hAnsi="仿宋_GB2312" w:eastAsia="仿宋_GB2312" w:cs="仿宋_GB2312"/>
                <w:kern w:val="2"/>
                <w:sz w:val="21"/>
                <w:szCs w:val="21"/>
                <w:lang w:val="en-US" w:eastAsia="zh-CN" w:bidi="ar-SA"/>
              </w:rPr>
              <w:t>史、</w:t>
            </w:r>
            <w:r>
              <w:rPr>
                <w:rFonts w:hint="default" w:ascii="仿宋_GB2312" w:hAnsi="仿宋_GB2312" w:eastAsia="仿宋_GB2312" w:cs="仿宋_GB2312"/>
                <w:kern w:val="2"/>
                <w:sz w:val="21"/>
                <w:szCs w:val="21"/>
                <w:lang w:val="en-US" w:eastAsia="zh-CN" w:bidi="ar-SA"/>
              </w:rPr>
              <w:t>相关的</w:t>
            </w:r>
            <w:r>
              <w:rPr>
                <w:rFonts w:hint="eastAsia" w:ascii="仿宋_GB2312" w:hAnsi="仿宋_GB2312" w:eastAsia="仿宋_GB2312" w:cs="仿宋_GB2312"/>
                <w:kern w:val="2"/>
                <w:sz w:val="21"/>
                <w:szCs w:val="21"/>
                <w:lang w:val="en-US" w:eastAsia="zh-CN" w:bidi="ar-SA"/>
              </w:rPr>
              <w:t>民俗文化；</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r>
              <w:rPr>
                <w:rFonts w:hint="default" w:ascii="仿宋_GB2312" w:hAnsi="仿宋_GB2312" w:eastAsia="仿宋_GB2312" w:cs="仿宋_GB2312"/>
                <w:kern w:val="2"/>
                <w:sz w:val="21"/>
                <w:szCs w:val="21"/>
                <w:lang w:val="en-US" w:eastAsia="zh-CN" w:bidi="ar-SA"/>
              </w:rPr>
              <w:t>能够掌握</w:t>
            </w:r>
            <w:r>
              <w:rPr>
                <w:rFonts w:hint="eastAsia" w:ascii="仿宋_GB2312" w:hAnsi="仿宋_GB2312" w:eastAsia="仿宋_GB2312" w:cs="仿宋_GB2312"/>
                <w:kern w:val="2"/>
                <w:sz w:val="21"/>
                <w:szCs w:val="21"/>
                <w:lang w:val="en-US" w:eastAsia="zh-CN" w:bidi="ar-SA"/>
              </w:rPr>
              <w:t>民俗仪式活动</w:t>
            </w:r>
            <w:r>
              <w:rPr>
                <w:rFonts w:hint="default" w:ascii="仿宋_GB2312" w:hAnsi="仿宋_GB2312" w:eastAsia="仿宋_GB2312" w:cs="仿宋_GB2312"/>
                <w:kern w:val="2"/>
                <w:sz w:val="21"/>
                <w:szCs w:val="21"/>
                <w:lang w:val="en-US" w:eastAsia="zh-CN" w:bidi="ar-SA"/>
              </w:rPr>
              <w:t>中</w:t>
            </w:r>
            <w:r>
              <w:rPr>
                <w:rFonts w:hint="eastAsia" w:ascii="仿宋_GB2312" w:hAnsi="仿宋_GB2312" w:eastAsia="仿宋_GB2312" w:cs="仿宋_GB2312"/>
                <w:kern w:val="2"/>
                <w:sz w:val="21"/>
                <w:szCs w:val="21"/>
                <w:lang w:val="en-US" w:eastAsia="zh-CN" w:bidi="ar-SA"/>
              </w:rPr>
              <w:t>花饽饽的寓意和作用。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kern w:val="2"/>
                <w:sz w:val="21"/>
                <w:szCs w:val="21"/>
                <w:lang w:val="en-US" w:eastAsia="zh-CN" w:bidi="ar-SA"/>
              </w:rPr>
            </w:pPr>
          </w:p>
        </w:tc>
        <w:tc>
          <w:tcPr>
            <w:tcW w:w="147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1.利用多媒体教学手段</w:t>
            </w:r>
            <w:r>
              <w:rPr>
                <w:rFonts w:hint="default" w:ascii="仿宋_GB2312" w:hAnsi="仿宋_GB2312" w:eastAsia="仿宋_GB2312" w:cs="仿宋_GB2312"/>
                <w:szCs w:val="21"/>
              </w:rPr>
              <w:t>展示花饽饽的传承历史和现状视频</w:t>
            </w:r>
            <w:r>
              <w:rPr>
                <w:rFonts w:hint="eastAsia" w:ascii="仿宋_GB2312" w:hAnsi="仿宋_GB2312" w:eastAsia="仿宋_GB2312" w:cs="仿宋_GB2312"/>
                <w:szCs w:val="21"/>
              </w:rPr>
              <w:t>，让学生</w:t>
            </w:r>
            <w:r>
              <w:rPr>
                <w:rFonts w:hint="default" w:ascii="仿宋_GB2312" w:hAnsi="仿宋_GB2312" w:eastAsia="仿宋_GB2312" w:cs="仿宋_GB2312"/>
                <w:szCs w:val="21"/>
              </w:rPr>
              <w:t>了解其民俗文化</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2.分发任务工单，让学生按照要求填写</w:t>
            </w:r>
            <w:r>
              <w:rPr>
                <w:rFonts w:hint="default" w:ascii="仿宋_GB2312" w:hAnsi="仿宋_GB2312" w:eastAsia="仿宋_GB2312" w:cs="仿宋_GB2312"/>
                <w:szCs w:val="21"/>
              </w:rPr>
              <w:t>不同的民俗仪式对应的花饽饽造型</w:t>
            </w:r>
            <w:r>
              <w:rPr>
                <w:rFonts w:hint="eastAsia" w:ascii="仿宋_GB2312" w:hAnsi="仿宋_GB2312" w:eastAsia="仿宋_GB2312" w:cs="仿宋_GB2312"/>
                <w:szCs w:val="21"/>
              </w:rPr>
              <w:t>以及选用依据；</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3.每小组在教师指导下对应典型</w:t>
            </w:r>
            <w:r>
              <w:rPr>
                <w:rFonts w:hint="default" w:ascii="仿宋_GB2312" w:hAnsi="仿宋_GB2312" w:eastAsia="仿宋_GB2312" w:cs="仿宋_GB2312"/>
                <w:szCs w:val="21"/>
              </w:rPr>
              <w:t>花饽饽组合的变迁，说出</w:t>
            </w:r>
            <w:r>
              <w:rPr>
                <w:rFonts w:hint="eastAsia" w:ascii="仿宋_GB2312" w:hAnsi="仿宋_GB2312" w:eastAsia="仿宋_GB2312" w:cs="仿宋_GB2312"/>
                <w:szCs w:val="21"/>
              </w:rPr>
              <w:t>发展趋势。</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项目</w:t>
            </w:r>
            <w:r>
              <w:rPr>
                <w:rFonts w:hint="default" w:ascii="仿宋_GB2312" w:hAnsi="仿宋_GB2312" w:eastAsia="仿宋_GB2312" w:cs="仿宋_GB2312"/>
                <w:szCs w:val="21"/>
              </w:rPr>
              <w:t>二</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常用</w:t>
            </w:r>
            <w:r>
              <w:rPr>
                <w:rFonts w:hint="eastAsia" w:ascii="仿宋_GB2312" w:hAnsi="仿宋_GB2312" w:eastAsia="仿宋_GB2312" w:cs="仿宋_GB2312"/>
                <w:szCs w:val="21"/>
                <w:lang w:eastAsia="zh-CN"/>
              </w:rPr>
              <w:t>原料与工具、设备</w:t>
            </w:r>
            <w:r>
              <w:rPr>
                <w:rFonts w:hint="eastAsia" w:ascii="仿宋_GB2312" w:hAnsi="仿宋_GB2312" w:eastAsia="仿宋_GB2312" w:cs="仿宋_GB2312"/>
                <w:szCs w:val="21"/>
              </w:rPr>
              <w:t>的认识与选用</w:t>
            </w:r>
          </w:p>
        </w:tc>
        <w:tc>
          <w:tcPr>
            <w:tcW w:w="1666" w:type="pct"/>
            <w:tcBorders>
              <w:top w:val="single" w:color="auto" w:sz="4" w:space="0"/>
              <w:left w:val="nil"/>
              <w:bottom w:val="single" w:color="auto" w:sz="4" w:space="0"/>
              <w:right w:val="single" w:color="auto" w:sz="4" w:space="0"/>
            </w:tcBorders>
            <w:vAlign w:val="center"/>
          </w:tcPr>
          <w:p>
            <w:pPr>
              <w:pStyle w:val="15"/>
              <w:keepNext w:val="0"/>
              <w:keepLines w:val="0"/>
              <w:numPr>
                <w:ilvl w:val="0"/>
                <w:numId w:val="8"/>
              </w:numPr>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掌握花饽饽原料的正确选用和配比；</w:t>
            </w:r>
          </w:p>
          <w:p>
            <w:pPr>
              <w:pStyle w:val="15"/>
              <w:keepNext w:val="0"/>
              <w:keepLines w:val="0"/>
              <w:numPr>
                <w:ilvl w:val="0"/>
                <w:numId w:val="8"/>
              </w:numPr>
              <w:suppressLineNumbers w:val="0"/>
              <w:autoSpaceDE w:val="0"/>
              <w:autoSpaceDN w:val="0"/>
              <w:adjustRightInd w:val="0"/>
              <w:snapToGrid w:val="0"/>
              <w:spacing w:before="0" w:beforeAutospacing="0" w:after="0" w:afterAutospacing="0" w:line="360" w:lineRule="exact"/>
              <w:ind w:right="0"/>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熟练掌握工具和设备的使用方法及清洁、保养。</w:t>
            </w:r>
          </w:p>
        </w:tc>
        <w:tc>
          <w:tcPr>
            <w:tcW w:w="147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1.利用实物介绍制作工具和设备，让学生学会正确的使用操作；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2.分发任务工作单，根据原料特性和已有的中式面点知识，合理适量制定配方；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3.每小组在教师指导下按照面团要求选用原料，以准确的比例调制面团。</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eastAsia="zh-CN"/>
              </w:rPr>
            </w:pPr>
            <w:r>
              <w:rPr>
                <w:rFonts w:hint="eastAsia" w:ascii="仿宋_GB2312" w:hAnsi="仿宋_GB2312" w:eastAsia="仿宋_GB2312" w:cs="仿宋_GB2312"/>
                <w:szCs w:val="21"/>
              </w:rPr>
              <w:t>项目</w:t>
            </w:r>
            <w:r>
              <w:rPr>
                <w:rFonts w:hint="default" w:ascii="仿宋_GB2312" w:hAnsi="仿宋_GB2312" w:eastAsia="仿宋_GB2312" w:cs="仿宋_GB2312"/>
                <w:szCs w:val="21"/>
                <w:lang w:eastAsia="zh-CN"/>
              </w:rPr>
              <w:t>三</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植物造型花饽饽制作</w:t>
            </w:r>
          </w:p>
        </w:tc>
        <w:tc>
          <w:tcPr>
            <w:tcW w:w="1666" w:type="pct"/>
            <w:tcBorders>
              <w:top w:val="single" w:color="auto" w:sz="4" w:space="0"/>
              <w:left w:val="nil"/>
              <w:bottom w:val="single" w:color="auto" w:sz="4" w:space="0"/>
              <w:right w:val="single" w:color="auto" w:sz="4" w:space="0"/>
            </w:tcBorders>
            <w:vAlign w:val="center"/>
          </w:tcPr>
          <w:p>
            <w:pPr>
              <w:pStyle w:val="15"/>
              <w:keepNext w:val="0"/>
              <w:keepLines w:val="0"/>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1.掌握花饽饽各种植物造型的制作技法，养成对</w:t>
            </w:r>
            <w:r>
              <w:rPr>
                <w:rFonts w:hint="default" w:ascii="仿宋_GB2312" w:hAnsi="仿宋_GB2312" w:eastAsia="仿宋_GB2312" w:cs="仿宋_GB2312"/>
                <w:kern w:val="2"/>
                <w:sz w:val="21"/>
                <w:szCs w:val="21"/>
                <w:lang w:val="en-US" w:eastAsia="zh-CN" w:bidi="ar-SA"/>
              </w:rPr>
              <w:t>生活中的事物和对生活的感受，培养学生的观察、想象、制作和创造能力</w:t>
            </w:r>
            <w:r>
              <w:rPr>
                <w:rFonts w:hint="eastAsia" w:ascii="仿宋_GB2312" w:hAnsi="仿宋_GB2312" w:eastAsia="仿宋_GB2312" w:cs="仿宋_GB2312"/>
                <w:kern w:val="2"/>
                <w:sz w:val="21"/>
                <w:szCs w:val="21"/>
                <w:lang w:val="en-US" w:eastAsia="zh-CN" w:bidi="ar-SA"/>
              </w:rPr>
              <w:t>。</w:t>
            </w:r>
          </w:p>
        </w:tc>
        <w:tc>
          <w:tcPr>
            <w:tcW w:w="147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1.利用视频、实物等展示植物型花饽饽的形态和特点，学生通过观察和分析了解造型的制作方法；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2.分发任务工作单，让学生掌握揉、搓、捏、剪、压、刻等基础制作技法；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3.每小组在教师指导下按照面团要求选用原料，让学生掌握正确植物造型的制作技法。</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eastAsia="zh-CN"/>
              </w:rPr>
            </w:pPr>
            <w:r>
              <w:rPr>
                <w:rFonts w:hint="eastAsia" w:ascii="仿宋_GB2312" w:hAnsi="仿宋_GB2312" w:eastAsia="仿宋_GB2312" w:cs="仿宋_GB2312"/>
                <w:szCs w:val="21"/>
              </w:rPr>
              <w:t>项目</w:t>
            </w:r>
            <w:r>
              <w:rPr>
                <w:rFonts w:hint="default" w:ascii="仿宋_GB2312" w:hAnsi="仿宋_GB2312" w:eastAsia="仿宋_GB2312" w:cs="仿宋_GB2312"/>
                <w:szCs w:val="21"/>
                <w:lang w:eastAsia="zh-CN"/>
              </w:rPr>
              <w:t>四</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动物造型</w:t>
            </w:r>
            <w:r>
              <w:rPr>
                <w:rFonts w:hint="eastAsia" w:ascii="仿宋_GB2312" w:hAnsi="仿宋_GB2312" w:eastAsia="仿宋_GB2312" w:cs="仿宋_GB2312"/>
                <w:szCs w:val="21"/>
                <w:lang w:eastAsia="zh-CN"/>
              </w:rPr>
              <w:t>及卡通造型花饽饽制作</w:t>
            </w:r>
          </w:p>
        </w:tc>
        <w:tc>
          <w:tcPr>
            <w:tcW w:w="1666" w:type="pct"/>
            <w:tcBorders>
              <w:top w:val="single" w:color="auto" w:sz="4" w:space="0"/>
              <w:left w:val="nil"/>
              <w:bottom w:val="single" w:color="auto" w:sz="4" w:space="0"/>
              <w:right w:val="single" w:color="auto" w:sz="4" w:space="0"/>
            </w:tcBorders>
            <w:vAlign w:val="center"/>
          </w:tcPr>
          <w:p>
            <w:pPr>
              <w:pStyle w:val="15"/>
              <w:keepNext w:val="0"/>
              <w:keepLines w:val="0"/>
              <w:numPr>
                <w:ilvl w:val="0"/>
                <w:numId w:val="9"/>
              </w:numPr>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掌握花饽饽以十二生肖为主的各种动物造型的制作技法</w:t>
            </w:r>
          </w:p>
          <w:p>
            <w:pPr>
              <w:pStyle w:val="15"/>
              <w:keepNext w:val="0"/>
              <w:keepLines w:val="0"/>
              <w:numPr>
                <w:ilvl w:val="0"/>
                <w:numId w:val="9"/>
              </w:numPr>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掌握卡通形象的制作，培养以传统技艺制作新产品的学习动力，发掘创新的能力。</w:t>
            </w:r>
          </w:p>
        </w:tc>
        <w:tc>
          <w:tcPr>
            <w:tcW w:w="147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1.利用视频、实物等展示动物型花饽饽的形态和特点，学生通过观察和分析了解造型的制作方法；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2.分发任务工作单，让学生学会从“鱼、兔”等简单动物造型逐渐掌握“牛、马、虎、猪”等一类稍复杂动物造型之作；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3.每小组在教师指导下学习完成复杂造型的制作。</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default" w:ascii="仿宋_GB2312" w:hAnsi="仿宋_GB2312" w:eastAsia="仿宋_GB2312" w:cs="仿宋_GB2312"/>
                <w:kern w:val="2"/>
                <w:sz w:val="21"/>
                <w:szCs w:val="21"/>
                <w:lang w:val="en-US" w:eastAsia="zh-CN" w:bidi="ar-SA"/>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eastAsia="zh-CN"/>
              </w:rPr>
            </w:pPr>
            <w:r>
              <w:rPr>
                <w:rFonts w:hint="eastAsia" w:ascii="仿宋_GB2312" w:hAnsi="仿宋_GB2312" w:eastAsia="仿宋_GB2312" w:cs="仿宋_GB2312"/>
                <w:szCs w:val="21"/>
              </w:rPr>
              <w:t>项目</w:t>
            </w:r>
            <w:r>
              <w:rPr>
                <w:rFonts w:hint="default" w:ascii="仿宋_GB2312" w:hAnsi="仿宋_GB2312" w:eastAsia="仿宋_GB2312" w:cs="仿宋_GB2312"/>
                <w:szCs w:val="21"/>
                <w:lang w:eastAsia="zh-CN"/>
              </w:rPr>
              <w:t>五</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rPr>
            </w:pPr>
            <w:r>
              <w:rPr>
                <w:rFonts w:hint="default" w:ascii="仿宋_GB2312" w:hAnsi="仿宋_GB2312" w:eastAsia="仿宋_GB2312" w:cs="仿宋_GB2312"/>
                <w:szCs w:val="21"/>
              </w:rPr>
              <w:t>花饽饽组合设计与创意</w:t>
            </w:r>
          </w:p>
        </w:tc>
        <w:tc>
          <w:tcPr>
            <w:tcW w:w="1666" w:type="pct"/>
            <w:tcBorders>
              <w:top w:val="single" w:color="auto" w:sz="4" w:space="0"/>
              <w:left w:val="nil"/>
              <w:bottom w:val="single" w:color="auto" w:sz="4" w:space="0"/>
              <w:right w:val="single" w:color="auto" w:sz="4" w:space="0"/>
            </w:tcBorders>
            <w:vAlign w:val="center"/>
          </w:tcPr>
          <w:p>
            <w:pPr>
              <w:pStyle w:val="15"/>
              <w:keepNext w:val="0"/>
              <w:keepLines w:val="0"/>
              <w:numPr>
                <w:ilvl w:val="0"/>
                <w:numId w:val="10"/>
              </w:numPr>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学习设计与应用主题相贴切的花饽饽组合；</w:t>
            </w:r>
          </w:p>
          <w:p>
            <w:pPr>
              <w:pStyle w:val="15"/>
              <w:keepNext w:val="0"/>
              <w:keepLines w:val="0"/>
              <w:numPr>
                <w:ilvl w:val="0"/>
                <w:numId w:val="10"/>
              </w:numPr>
              <w:suppressLineNumbers w:val="0"/>
              <w:autoSpaceDE w:val="0"/>
              <w:autoSpaceDN w:val="0"/>
              <w:adjustRightInd w:val="0"/>
              <w:snapToGrid w:val="0"/>
              <w:spacing w:before="0" w:beforeAutospacing="0" w:after="0" w:afterAutospacing="0" w:line="360" w:lineRule="exact"/>
              <w:ind w:right="0"/>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掌握常见的习俗仪式中基本的组合制作，并进一步掌握花饽饽组合设计的原则和方法。</w:t>
            </w:r>
          </w:p>
        </w:tc>
        <w:tc>
          <w:tcPr>
            <w:tcW w:w="1471"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1.利用实物、视频等展示花饽饽组合，让学生学会花饽饽组合的元素组成；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2.分发任务工作单，让学生学习并掌握花饽饽组合的设计方法；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3.每小组在教师指导下制作一款花饽饽组合。</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w:t>
      </w:r>
      <w:r>
        <w:rPr>
          <w:rFonts w:hint="eastAsia" w:ascii="仿宋_GB2312" w:hAnsi="仿宋_GB2312" w:eastAsia="仿宋_GB2312" w:cs="仿宋_GB2312"/>
          <w:sz w:val="32"/>
          <w:szCs w:val="32"/>
          <w:lang w:eastAsia="zh-CN"/>
        </w:rPr>
        <w:t>餐饮从业</w:t>
      </w:r>
      <w:r>
        <w:rPr>
          <w:rFonts w:hint="eastAsia" w:ascii="仿宋_GB2312" w:hAnsi="仿宋_GB2312" w:eastAsia="仿宋_GB2312" w:cs="仿宋_GB2312"/>
          <w:sz w:val="32"/>
          <w:szCs w:val="32"/>
        </w:rPr>
        <w:t>人员职业道德意识，将立德树人贯穿于课程实施全过程。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（2）课程以</w:t>
      </w:r>
      <w:r>
        <w:rPr>
          <w:rFonts w:hint="eastAsia" w:ascii="仿宋_GB2312" w:hAnsi="仿宋_GB2312" w:eastAsia="仿宋_GB2312" w:cs="仿宋_GB2312"/>
          <w:sz w:val="32"/>
          <w:szCs w:val="32"/>
          <w:lang w:eastAsia="zh-CN"/>
        </w:rPr>
        <w:t>花饽饽制作</w:t>
      </w:r>
      <w:r>
        <w:rPr>
          <w:rFonts w:hint="eastAsia" w:ascii="仿宋_GB2312" w:hAnsi="仿宋_GB2312" w:eastAsia="仿宋_GB2312" w:cs="仿宋_GB2312"/>
          <w:sz w:val="32"/>
          <w:szCs w:val="32"/>
        </w:rPr>
        <w:t>为主体，以职业实践为主线，积极探索理论和实践相结合的教学模式，采用</w:t>
      </w:r>
      <w:r>
        <w:rPr>
          <w:rFonts w:hint="eastAsia" w:ascii="仿宋_GB2312" w:hAnsi="仿宋_GB2312" w:eastAsia="仿宋_GB2312" w:cs="仿宋_GB2312"/>
          <w:sz w:val="32"/>
          <w:szCs w:val="32"/>
          <w:lang w:eastAsia="zh-CN"/>
        </w:rPr>
        <w:t>项目化</w:t>
      </w:r>
      <w:r>
        <w:rPr>
          <w:rFonts w:hint="eastAsia" w:ascii="仿宋_GB2312" w:hAnsi="仿宋_GB2312" w:eastAsia="仿宋_GB2312" w:cs="仿宋_GB2312"/>
          <w:sz w:val="32"/>
          <w:szCs w:val="32"/>
        </w:rPr>
        <w:t>化教学，引导学生</w:t>
      </w:r>
      <w:r>
        <w:rPr>
          <w:rFonts w:hint="eastAsia" w:ascii="仿宋_GB2312" w:hAnsi="仿宋_GB2312" w:eastAsia="仿宋_GB2312" w:cs="仿宋_GB2312"/>
          <w:sz w:val="32"/>
          <w:szCs w:val="32"/>
          <w:lang w:eastAsia="zh-CN"/>
        </w:rPr>
        <w:t>掌握花饽饽原料的选用、工具设备的正确操作和保养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掌握各种造型的制作技法，并能结合传统和流行元素设计新的造型；掌握花饽饽醒发及熟制工序的工艺</w:t>
      </w:r>
      <w:r>
        <w:rPr>
          <w:rFonts w:hint="eastAsia" w:ascii="仿宋_GB2312" w:hAnsi="仿宋_GB2312" w:eastAsia="仿宋_GB2312" w:cs="仿宋_GB2312"/>
          <w:sz w:val="32"/>
          <w:szCs w:val="32"/>
        </w:rPr>
        <w:t>；具有</w:t>
      </w:r>
      <w:r>
        <w:rPr>
          <w:rFonts w:hint="eastAsia" w:ascii="仿宋_GB2312" w:hAnsi="仿宋_GB2312" w:eastAsia="仿宋_GB2312" w:cs="仿宋_GB2312"/>
          <w:sz w:val="32"/>
          <w:szCs w:val="32"/>
          <w:lang w:eastAsia="zh-CN"/>
        </w:rPr>
        <w:t>独立制作和设计花饽饽完整组合的能力</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（3）坚持以能力为本位，发挥教师的主导作用，突出学生的主体地位，倡导项目式教学方式，采用启发式、探究式、任务驱动等多种教学法，重点突出与其他专业课程相接轨、与当前</w:t>
      </w:r>
      <w:r>
        <w:rPr>
          <w:rFonts w:hint="eastAsia" w:ascii="仿宋_GB2312" w:hAnsi="仿宋_GB2312" w:eastAsia="仿宋_GB2312" w:cs="仿宋_GB2312"/>
          <w:sz w:val="32"/>
          <w:szCs w:val="32"/>
          <w:lang w:eastAsia="zh-CN"/>
        </w:rPr>
        <w:t>行业应用</w:t>
      </w:r>
      <w:r>
        <w:rPr>
          <w:rFonts w:hint="eastAsia" w:ascii="仿宋_GB2312" w:hAnsi="仿宋_GB2312" w:eastAsia="仿宋_GB2312" w:cs="仿宋_GB2312"/>
          <w:sz w:val="32"/>
          <w:szCs w:val="32"/>
        </w:rPr>
        <w:t>的主流技术相结合，力求简单实用。同时充分考虑传统技术与当前最新成果与发展动向相衔接。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（4）教学过程中注重学生自主学习，引导学生从多个角度提出问题，用多种方法解决问题，运用多种信息技术手段丰富教学内容，采用视频、动画、教学平台等手段把抽象知识具体化，使学生对</w:t>
      </w:r>
      <w:r>
        <w:rPr>
          <w:rFonts w:hint="eastAsia" w:ascii="仿宋_GB2312" w:hAnsi="仿宋_GB2312" w:eastAsia="仿宋_GB2312" w:cs="仿宋_GB2312"/>
          <w:sz w:val="32"/>
          <w:szCs w:val="32"/>
          <w:lang w:eastAsia="zh-CN"/>
        </w:rPr>
        <w:t>花饽饽造型技法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组合</w:t>
      </w:r>
      <w:r>
        <w:rPr>
          <w:rFonts w:hint="eastAsia" w:ascii="仿宋_GB2312" w:hAnsi="仿宋_GB2312" w:eastAsia="仿宋_GB2312" w:cs="仿宋_GB2312"/>
          <w:sz w:val="32"/>
          <w:szCs w:val="32"/>
        </w:rPr>
        <w:t>有全面的了解，提高教学效果。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（5）建议本门课程的分数构成比例为课堂评价30%，项目（模块）评价30%，期末评价40%。调动学生的学习主动性,锻炼实践技能,提高教学质量。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（1）配备本课程必备的</w:t>
      </w:r>
      <w:r>
        <w:rPr>
          <w:rFonts w:hint="eastAsia" w:ascii="仿宋_GB2312" w:hAnsi="仿宋_GB2312" w:eastAsia="仿宋_GB2312" w:cs="仿宋_GB2312"/>
          <w:sz w:val="32"/>
          <w:szCs w:val="32"/>
          <w:lang w:eastAsia="zh-CN"/>
        </w:rPr>
        <w:t>花饽饽制作工具和设备</w:t>
      </w:r>
      <w:r>
        <w:rPr>
          <w:rFonts w:hint="eastAsia" w:ascii="仿宋_GB2312" w:hAnsi="仿宋_GB2312" w:eastAsia="仿宋_GB2312" w:cs="仿宋_GB2312"/>
          <w:sz w:val="32"/>
          <w:szCs w:val="32"/>
        </w:rPr>
        <w:t>，定期</w:t>
      </w:r>
      <w:r>
        <w:rPr>
          <w:rFonts w:hint="eastAsia" w:ascii="仿宋_GB2312" w:hAnsi="仿宋_GB2312" w:eastAsia="仿宋_GB2312" w:cs="仿宋_GB2312"/>
          <w:sz w:val="32"/>
          <w:szCs w:val="32"/>
          <w:lang w:eastAsia="zh-CN"/>
        </w:rPr>
        <w:t>组织学生练习</w:t>
      </w:r>
      <w:r>
        <w:rPr>
          <w:rFonts w:hint="eastAsia" w:ascii="仿宋_GB2312" w:hAnsi="仿宋_GB2312" w:eastAsia="仿宋_GB2312" w:cs="仿宋_GB2312"/>
          <w:sz w:val="32"/>
          <w:szCs w:val="32"/>
        </w:rPr>
        <w:t>，充分提高设备利用率。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（2）注重企业生产实践现场的作用，安排</w:t>
      </w:r>
      <w:r>
        <w:rPr>
          <w:rFonts w:hint="eastAsia" w:ascii="仿宋_GB2312" w:hAnsi="仿宋_GB2312" w:eastAsia="仿宋_GB2312" w:cs="仿宋_GB2312"/>
          <w:sz w:val="32"/>
          <w:szCs w:val="32"/>
          <w:lang w:eastAsia="zh-CN"/>
        </w:rPr>
        <w:t>花饽饽工坊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制作企业车间</w:t>
      </w:r>
      <w:r>
        <w:rPr>
          <w:rFonts w:hint="eastAsia" w:ascii="仿宋_GB2312" w:hAnsi="仿宋_GB2312" w:eastAsia="仿宋_GB2312" w:cs="仿宋_GB2312"/>
          <w:sz w:val="32"/>
          <w:szCs w:val="32"/>
        </w:rPr>
        <w:t>的参观学习，熟悉</w:t>
      </w:r>
      <w:r>
        <w:rPr>
          <w:rFonts w:hint="eastAsia" w:ascii="仿宋_GB2312" w:hAnsi="仿宋_GB2312" w:eastAsia="仿宋_GB2312" w:cs="仿宋_GB2312"/>
          <w:sz w:val="32"/>
          <w:szCs w:val="32"/>
          <w:lang w:eastAsia="zh-CN"/>
        </w:rPr>
        <w:t>花饽饽生产的流程</w:t>
      </w:r>
      <w:r>
        <w:rPr>
          <w:rFonts w:hint="eastAsia" w:ascii="仿宋_GB2312" w:hAnsi="仿宋_GB2312" w:eastAsia="仿宋_GB2312" w:cs="仿宋_GB2312"/>
          <w:sz w:val="32"/>
          <w:szCs w:val="32"/>
        </w:rPr>
        <w:t>，增强学生的感性认识。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（1）教材编写以本课程标准为基本要求，编写时应将</w:t>
      </w:r>
      <w:r>
        <w:rPr>
          <w:rFonts w:hint="eastAsia" w:ascii="仿宋_GB2312" w:hAnsi="仿宋_GB2312" w:eastAsia="仿宋_GB2312" w:cs="仿宋_GB2312"/>
          <w:sz w:val="32"/>
          <w:szCs w:val="32"/>
          <w:lang w:eastAsia="zh-CN"/>
        </w:rPr>
        <w:t>花饽饽</w:t>
      </w:r>
      <w:r>
        <w:rPr>
          <w:rFonts w:hint="eastAsia" w:ascii="仿宋_GB2312" w:hAnsi="仿宋_GB2312" w:eastAsia="仿宋_GB2312" w:cs="仿宋_GB2312"/>
          <w:sz w:val="32"/>
          <w:szCs w:val="32"/>
        </w:rPr>
        <w:t>基础技术的基本</w:t>
      </w:r>
      <w:r>
        <w:rPr>
          <w:rFonts w:hint="eastAsia" w:ascii="仿宋_GB2312" w:hAnsi="仿宋_GB2312" w:eastAsia="仿宋_GB2312" w:cs="仿宋_GB2312"/>
          <w:sz w:val="32"/>
          <w:szCs w:val="32"/>
          <w:lang w:eastAsia="zh-CN"/>
        </w:rPr>
        <w:t>理论知识</w:t>
      </w:r>
      <w:r>
        <w:rPr>
          <w:rFonts w:hint="eastAsia" w:ascii="仿宋_GB2312" w:hAnsi="仿宋_GB2312" w:eastAsia="仿宋_GB2312" w:cs="仿宋_GB2312"/>
          <w:sz w:val="32"/>
          <w:szCs w:val="32"/>
        </w:rPr>
        <w:t>与生产生活中的实际应用相结合，注重实践技能的培养，注意反映</w:t>
      </w:r>
      <w:r>
        <w:rPr>
          <w:rFonts w:hint="default" w:ascii="仿宋_GB2312" w:hAnsi="仿宋_GB2312" w:eastAsia="仿宋_GB2312" w:cs="仿宋_GB2312"/>
          <w:sz w:val="32"/>
          <w:szCs w:val="32"/>
        </w:rPr>
        <w:t>面点制作</w:t>
      </w:r>
      <w:r>
        <w:rPr>
          <w:rFonts w:hint="eastAsia" w:ascii="仿宋_GB2312" w:hAnsi="仿宋_GB2312" w:eastAsia="仿宋_GB2312" w:cs="仿宋_GB2312"/>
          <w:sz w:val="32"/>
          <w:szCs w:val="32"/>
        </w:rPr>
        <w:t>的新知识、新技术、新工艺和新材料。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center"/>
        <w:textAlignment w:val="auto"/>
        <w:outlineLvl w:val="9"/>
        <w:rPr>
          <w:rFonts w:hint="eastAsia" w:ascii="仿宋" w:hAnsi="仿宋" w:eastAsia="仿宋" w:cs="仿宋"/>
          <w:sz w:val="32"/>
          <w:szCs w:val="32"/>
          <w:lang w:eastAsia="zh-CN"/>
        </w:rPr>
        <w:sectPr>
          <w:headerReference r:id="rId9" w:type="default"/>
          <w:footerReference r:id="rId10" w:type="default"/>
          <w:pgSz w:w="11906" w:h="16838"/>
          <w:pgMar w:top="2041" w:right="1531" w:bottom="1985" w:left="1531" w:header="0" w:footer="1136" w:gutter="0"/>
          <w:pgNumType w:fmt="decimal"/>
          <w:cols w:space="720" w:num="1"/>
          <w:docGrid w:linePitch="286" w:charSpace="0"/>
        </w:sectPr>
      </w:pPr>
      <w:bookmarkStart w:id="159" w:name="_Toc26393"/>
      <w:bookmarkStart w:id="160" w:name="_Toc13947"/>
    </w:p>
    <w:p>
      <w:pPr>
        <w:keepNext w:val="0"/>
        <w:keepLines w:val="0"/>
        <w:pageBreakBefore w:val="0"/>
        <w:kinsoku/>
        <w:wordWrap/>
        <w:overflowPunct/>
        <w:topLinePunct w:val="0"/>
        <w:autoSpaceDN/>
        <w:bidi w:val="0"/>
        <w:snapToGrid w:val="0"/>
        <w:spacing w:line="580" w:lineRule="exact"/>
        <w:jc w:val="center"/>
        <w:outlineLvl w:val="1"/>
        <w:rPr>
          <w:rFonts w:hint="eastAsia" w:ascii="方正小标宋_GBK" w:hAnsi="宋体" w:eastAsia="方正小标宋_GBK" w:cs="Times New Roman"/>
          <w:kern w:val="2"/>
          <w:sz w:val="36"/>
          <w:szCs w:val="36"/>
          <w:lang w:val="en-US" w:eastAsia="zh-CN" w:bidi="ar-SA"/>
        </w:rPr>
      </w:pPr>
      <w:r>
        <w:rPr>
          <w:rFonts w:hint="eastAsia" w:ascii="方正小标宋_GBK" w:hAnsi="宋体" w:eastAsia="方正小标宋_GBK" w:cs="Times New Roman"/>
          <w:kern w:val="2"/>
          <w:sz w:val="36"/>
          <w:szCs w:val="36"/>
          <w:lang w:val="en-US" w:eastAsia="zh-CN" w:bidi="ar-SA"/>
        </w:rPr>
        <w:t>中西面点基本功课程标准</w:t>
      </w:r>
      <w:bookmarkEnd w:id="159"/>
      <w:bookmarkEnd w:id="1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61" w:name="_Toc21791"/>
      <w:bookmarkStart w:id="162" w:name="_Toc31094"/>
      <w:r>
        <w:rPr>
          <w:rFonts w:hint="eastAsia" w:ascii="楷体" w:hAnsi="楷体" w:eastAsia="楷体" w:cs="楷体"/>
          <w:sz w:val="32"/>
          <w:szCs w:val="32"/>
          <w:lang w:eastAsia="zh-CN"/>
        </w:rPr>
        <w:t>（一）</w:t>
      </w:r>
      <w:r>
        <w:rPr>
          <w:rFonts w:hint="eastAsia" w:ascii="楷体" w:hAnsi="楷体" w:eastAsia="楷体" w:cs="楷体"/>
          <w:sz w:val="32"/>
          <w:szCs w:val="32"/>
        </w:rPr>
        <w:t>课程性质与任务</w:t>
      </w:r>
      <w:bookmarkEnd w:id="161"/>
      <w:bookmarkEnd w:id="162"/>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w:t>
      </w:r>
      <w:r>
        <w:rPr>
          <w:rFonts w:hint="eastAsia" w:ascii="仿宋_GB2312" w:hAnsi="仿宋_GB2312" w:eastAsia="仿宋_GB2312" w:cs="仿宋_GB2312"/>
          <w:sz w:val="32"/>
          <w:szCs w:val="32"/>
          <w:lang w:eastAsia="zh-CN"/>
        </w:rPr>
        <w:t>中西面点</w:t>
      </w:r>
      <w:r>
        <w:rPr>
          <w:rFonts w:hint="eastAsia" w:ascii="仿宋_GB2312" w:hAnsi="仿宋_GB2312" w:eastAsia="仿宋_GB2312" w:cs="仿宋_GB2312"/>
          <w:sz w:val="32"/>
          <w:szCs w:val="32"/>
        </w:rPr>
        <w:t>专业的一门专业</w:t>
      </w:r>
      <w:r>
        <w:rPr>
          <w:rFonts w:hint="eastAsia" w:ascii="仿宋_GB2312" w:hAnsi="仿宋_GB2312" w:eastAsia="仿宋_GB2312" w:cs="仿宋_GB2312"/>
          <w:sz w:val="32"/>
          <w:szCs w:val="32"/>
          <w:lang w:eastAsia="zh-CN"/>
        </w:rPr>
        <w:t>核心</w:t>
      </w:r>
      <w:r>
        <w:rPr>
          <w:rFonts w:hint="eastAsia" w:ascii="仿宋_GB2312" w:hAnsi="仿宋_GB2312" w:eastAsia="仿宋_GB2312" w:cs="仿宋_GB2312"/>
          <w:sz w:val="32"/>
          <w:szCs w:val="32"/>
        </w:rPr>
        <w:t>课程。通过学习</w:t>
      </w:r>
      <w:r>
        <w:rPr>
          <w:rFonts w:hint="eastAsia" w:ascii="仿宋_GB2312" w:hAnsi="仿宋_GB2312" w:eastAsia="仿宋_GB2312" w:cs="仿宋_GB2312"/>
          <w:sz w:val="32"/>
          <w:szCs w:val="32"/>
          <w:lang w:eastAsia="zh-CN"/>
        </w:rPr>
        <w:t>面点制作基础知识、面团调制原理、常有面团调制方法、制馅技术、成型技术、成熟技艺</w:t>
      </w:r>
      <w:r>
        <w:rPr>
          <w:rFonts w:hint="eastAsia" w:ascii="仿宋_GB2312" w:hAnsi="仿宋_GB2312" w:eastAsia="仿宋_GB2312" w:cs="仿宋_GB2312"/>
          <w:sz w:val="32"/>
          <w:szCs w:val="32"/>
        </w:rPr>
        <w:t>等专业知识，使学生能够掌握</w:t>
      </w:r>
      <w:r>
        <w:rPr>
          <w:rFonts w:hint="eastAsia" w:ascii="仿宋_GB2312" w:hAnsi="仿宋_GB2312" w:eastAsia="仿宋_GB2312" w:cs="仿宋_GB2312"/>
          <w:sz w:val="32"/>
          <w:szCs w:val="32"/>
          <w:lang w:eastAsia="zh-CN"/>
        </w:rPr>
        <w:t>中西面点专业所必需的文化知识、理论知识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具有</w:t>
      </w:r>
      <w:r>
        <w:rPr>
          <w:rFonts w:hint="eastAsia" w:ascii="仿宋_GB2312" w:hAnsi="仿宋_GB2312" w:eastAsia="仿宋_GB2312" w:cs="仿宋_GB2312"/>
          <w:sz w:val="32"/>
          <w:szCs w:val="32"/>
        </w:rPr>
        <w:t>面点制作的</w:t>
      </w:r>
      <w:r>
        <w:rPr>
          <w:rFonts w:hint="eastAsia" w:ascii="仿宋_GB2312" w:hAnsi="仿宋_GB2312" w:eastAsia="仿宋_GB2312" w:cs="仿宋_GB2312"/>
          <w:sz w:val="32"/>
          <w:szCs w:val="32"/>
          <w:lang w:eastAsia="zh-CN"/>
        </w:rPr>
        <w:t>基本</w:t>
      </w:r>
      <w:r>
        <w:rPr>
          <w:rFonts w:hint="eastAsia" w:ascii="仿宋_GB2312" w:hAnsi="仿宋_GB2312" w:eastAsia="仿宋_GB2312" w:cs="仿宋_GB2312"/>
          <w:sz w:val="32"/>
          <w:szCs w:val="32"/>
        </w:rPr>
        <w:t>技能</w:t>
      </w:r>
      <w:r>
        <w:rPr>
          <w:rFonts w:hint="eastAsia" w:ascii="仿宋_GB2312" w:hAnsi="仿宋_GB2312" w:eastAsia="仿宋_GB2312" w:cs="仿宋_GB2312"/>
          <w:sz w:val="32"/>
          <w:szCs w:val="32"/>
          <w:lang w:eastAsia="zh-CN"/>
        </w:rPr>
        <w:t>、具有</w:t>
      </w:r>
      <w:r>
        <w:rPr>
          <w:rFonts w:hint="eastAsia" w:ascii="仿宋_GB2312" w:hAnsi="仿宋_GB2312" w:eastAsia="仿宋_GB2312" w:cs="仿宋_GB2312"/>
          <w:sz w:val="32"/>
          <w:szCs w:val="32"/>
        </w:rPr>
        <w:t>将理论知识合理的应用于实践中，</w:t>
      </w:r>
      <w:r>
        <w:rPr>
          <w:rFonts w:hint="eastAsia" w:ascii="仿宋_GB2312" w:hAnsi="仿宋_GB2312" w:eastAsia="仿宋_GB2312" w:cs="仿宋_GB2312"/>
          <w:sz w:val="32"/>
          <w:szCs w:val="32"/>
          <w:lang w:eastAsia="zh-CN"/>
        </w:rPr>
        <w:t>能</w:t>
      </w:r>
      <w:r>
        <w:rPr>
          <w:rFonts w:hint="eastAsia" w:ascii="仿宋_GB2312" w:hAnsi="仿宋_GB2312" w:eastAsia="仿宋_GB2312" w:cs="仿宋_GB2312"/>
          <w:sz w:val="32"/>
          <w:szCs w:val="32"/>
        </w:rPr>
        <w:t>达到岗位职责所必备的基本职业能力，</w:t>
      </w:r>
      <w:r>
        <w:rPr>
          <w:rFonts w:hint="eastAsia" w:ascii="仿宋_GB2312" w:hAnsi="仿宋_GB2312" w:eastAsia="仿宋_GB2312" w:cs="仿宋_GB2312"/>
          <w:sz w:val="32"/>
          <w:szCs w:val="32"/>
          <w:lang w:eastAsia="zh-CN"/>
        </w:rPr>
        <w:t>能够独立制作各式点心，</w:t>
      </w:r>
      <w:r>
        <w:rPr>
          <w:rFonts w:hint="eastAsia" w:ascii="仿宋_GB2312" w:hAnsi="仿宋_GB2312" w:eastAsia="仿宋_GB2312" w:cs="仿宋_GB2312"/>
          <w:sz w:val="32"/>
          <w:szCs w:val="32"/>
        </w:rPr>
        <w:t>为生产岗位实践打下基础。培养学生的职业道德和工匠精神，提高学生综合素质和职业能力，为学生后续其他专业课程的学习打下基础。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eastAsia="zh-CN"/>
        </w:rPr>
      </w:pPr>
      <w:bookmarkStart w:id="163" w:name="_Toc24300"/>
      <w:bookmarkStart w:id="164" w:name="_Toc16923"/>
      <w:r>
        <w:rPr>
          <w:rFonts w:hint="eastAsia" w:ascii="楷体" w:hAnsi="楷体" w:eastAsia="楷体" w:cs="楷体"/>
          <w:sz w:val="32"/>
          <w:szCs w:val="32"/>
          <w:lang w:eastAsia="zh-CN"/>
        </w:rPr>
        <w:t>（二）课程教学目标</w:t>
      </w:r>
      <w:bookmarkEnd w:id="163"/>
      <w:bookmarkEnd w:id="164"/>
    </w:p>
    <w:p>
      <w:pPr>
        <w:adjustRightInd w:val="0"/>
        <w:snapToGrid w:val="0"/>
        <w:spacing w:line="58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（1）具有坚定的政治方向，拥护中国共产党领导和中国特色社会主义制度，</w:t>
      </w:r>
      <w:r>
        <w:rPr>
          <w:rFonts w:hint="eastAsia" w:ascii="仿宋_GB2312" w:hAnsi="仿宋_GB2312" w:eastAsia="仿宋_GB2312" w:cs="仿宋_GB2312"/>
          <w:sz w:val="32"/>
          <w:szCs w:val="32"/>
          <w:lang w:eastAsia="zh-CN"/>
        </w:rPr>
        <w:t>具有</w:t>
      </w:r>
      <w:r>
        <w:rPr>
          <w:rFonts w:hint="eastAsia" w:ascii="仿宋_GB2312" w:hAnsi="仿宋_GB2312" w:eastAsia="仿宋_GB2312" w:cs="仿宋_GB2312"/>
          <w:sz w:val="32"/>
          <w:szCs w:val="32"/>
        </w:rPr>
        <w:t>社会主义核心价值观，理想信念坚定、民族自豪感强烈、爱国情怀深厚；</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具有爱岗敬业和耐心细致的工作态度；</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具有规范操作的职业素养和良好的职业道德；</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（4）具有耐心细致的工作作风和严肃认真的工作态度；</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（5）具有良好的安全生产、节能环保等职业意识；</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（6）具有科学探索精神与创新意识。</w:t>
      </w:r>
    </w:p>
    <w:p>
      <w:pPr>
        <w:adjustRightInd w:val="0"/>
        <w:snapToGrid w:val="0"/>
        <w:spacing w:line="58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（1）掌握</w:t>
      </w:r>
      <w:r>
        <w:rPr>
          <w:rFonts w:hint="eastAsia" w:ascii="仿宋_GB2312" w:hAnsi="仿宋_GB2312" w:eastAsia="仿宋_GB2312" w:cs="仿宋_GB2312"/>
          <w:sz w:val="32"/>
          <w:szCs w:val="32"/>
          <w:lang w:eastAsia="zh-CN"/>
        </w:rPr>
        <w:t>刀工技术的分类</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（2）掌握</w:t>
      </w:r>
      <w:r>
        <w:rPr>
          <w:rFonts w:hint="eastAsia" w:ascii="仿宋_GB2312" w:hAnsi="仿宋_GB2312" w:eastAsia="仿宋_GB2312" w:cs="仿宋_GB2312"/>
          <w:sz w:val="32"/>
          <w:szCs w:val="32"/>
          <w:lang w:eastAsia="zh-CN"/>
        </w:rPr>
        <w:t>面团及面糊</w:t>
      </w:r>
      <w:r>
        <w:rPr>
          <w:rFonts w:hint="eastAsia" w:ascii="仿宋_GB2312" w:hAnsi="仿宋_GB2312" w:eastAsia="仿宋_GB2312" w:cs="仿宋_GB2312"/>
          <w:sz w:val="32"/>
          <w:szCs w:val="32"/>
        </w:rPr>
        <w:t>的分类</w:t>
      </w:r>
      <w:r>
        <w:rPr>
          <w:rFonts w:hint="eastAsia" w:ascii="仿宋_GB2312" w:hAnsi="仿宋_GB2312" w:eastAsia="仿宋_GB2312" w:cs="仿宋_GB2312"/>
          <w:sz w:val="32"/>
          <w:szCs w:val="32"/>
          <w:lang w:eastAsia="zh-CN"/>
        </w:rPr>
        <w:t>；面团及面糊的调制工艺</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（3）掌握</w:t>
      </w:r>
      <w:r>
        <w:rPr>
          <w:rFonts w:hint="eastAsia" w:ascii="仿宋_GB2312" w:hAnsi="仿宋_GB2312" w:eastAsia="仿宋_GB2312" w:cs="仿宋_GB2312"/>
          <w:sz w:val="32"/>
          <w:szCs w:val="32"/>
          <w:lang w:eastAsia="zh-CN"/>
        </w:rPr>
        <w:t>醒发程度</w:t>
      </w:r>
      <w:r>
        <w:rPr>
          <w:rFonts w:hint="eastAsia" w:ascii="仿宋_GB2312" w:hAnsi="仿宋_GB2312" w:eastAsia="仿宋_GB2312" w:cs="仿宋_GB2312"/>
          <w:sz w:val="32"/>
          <w:szCs w:val="32"/>
        </w:rPr>
        <w:t>的判别方法；</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（4）掌握</w:t>
      </w:r>
      <w:r>
        <w:rPr>
          <w:rFonts w:hint="eastAsia" w:ascii="仿宋_GB2312" w:hAnsi="仿宋_GB2312" w:eastAsia="仿宋_GB2312" w:cs="仿宋_GB2312"/>
          <w:sz w:val="32"/>
          <w:szCs w:val="32"/>
          <w:lang w:eastAsia="zh-CN"/>
        </w:rPr>
        <w:t>馅心调制的方法</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（5）掌握</w:t>
      </w:r>
      <w:r>
        <w:rPr>
          <w:rFonts w:hint="eastAsia" w:ascii="仿宋_GB2312" w:hAnsi="仿宋_GB2312" w:eastAsia="仿宋_GB2312" w:cs="仿宋_GB2312"/>
          <w:sz w:val="32"/>
          <w:szCs w:val="32"/>
          <w:lang w:eastAsia="zh-CN"/>
        </w:rPr>
        <w:t>产品成型的不同方法</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（6）掌握使用各种</w:t>
      </w:r>
      <w:r>
        <w:rPr>
          <w:rFonts w:hint="eastAsia" w:ascii="仿宋_GB2312" w:hAnsi="仿宋_GB2312" w:eastAsia="仿宋_GB2312" w:cs="仿宋_GB2312"/>
          <w:sz w:val="32"/>
          <w:szCs w:val="32"/>
          <w:lang w:eastAsia="zh-CN"/>
        </w:rPr>
        <w:t>设施设备</w:t>
      </w:r>
      <w:r>
        <w:rPr>
          <w:rFonts w:hint="eastAsia" w:ascii="仿宋_GB2312" w:hAnsi="仿宋_GB2312" w:eastAsia="仿宋_GB2312" w:cs="仿宋_GB2312"/>
          <w:sz w:val="32"/>
          <w:szCs w:val="32"/>
        </w:rPr>
        <w:t>的方法。</w:t>
      </w:r>
    </w:p>
    <w:p>
      <w:pPr>
        <w:adjustRightInd w:val="0"/>
        <w:snapToGrid w:val="0"/>
        <w:spacing w:line="58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（1）能够</w:t>
      </w:r>
      <w:r>
        <w:rPr>
          <w:rFonts w:hint="eastAsia" w:ascii="仿宋_GB2312" w:hAnsi="仿宋_GB2312" w:eastAsia="仿宋_GB2312" w:cs="仿宋_GB2312"/>
          <w:sz w:val="32"/>
          <w:szCs w:val="32"/>
          <w:lang w:eastAsia="zh-CN"/>
        </w:rPr>
        <w:t>根据原料特点和制作要求，运用一定的工具和技巧，将原料加工成大小、厚薄、形状不一的菜品</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（2）能够</w:t>
      </w:r>
      <w:r>
        <w:rPr>
          <w:rFonts w:hint="eastAsia" w:ascii="仿宋_GB2312" w:hAnsi="仿宋_GB2312" w:eastAsia="仿宋_GB2312" w:cs="仿宋_GB2312"/>
          <w:sz w:val="32"/>
          <w:szCs w:val="32"/>
          <w:lang w:eastAsia="zh-CN"/>
        </w:rPr>
        <w:t>在规定时间内完成中点的技术基础，包括：和面、揉面、搓条、下剂、擀皮</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（3）能够</w:t>
      </w:r>
      <w:r>
        <w:rPr>
          <w:rFonts w:hint="eastAsia" w:ascii="仿宋_GB2312" w:hAnsi="仿宋_GB2312" w:eastAsia="仿宋_GB2312" w:cs="仿宋_GB2312"/>
          <w:sz w:val="32"/>
          <w:szCs w:val="32"/>
          <w:lang w:eastAsia="zh-CN"/>
        </w:rPr>
        <w:t>判断发面品种的醒发程度，做出符合质量标准的产品</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（4）能够</w:t>
      </w:r>
      <w:r>
        <w:rPr>
          <w:rFonts w:hint="eastAsia" w:ascii="仿宋_GB2312" w:hAnsi="仿宋_GB2312" w:eastAsia="仿宋_GB2312" w:cs="仿宋_GB2312"/>
          <w:sz w:val="32"/>
          <w:szCs w:val="32"/>
          <w:lang w:eastAsia="zh-CN"/>
        </w:rPr>
        <w:t>独立调制馅心</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（5）能够按照实际要求对产品进行成型及成熟；</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能够实时了解面点行业发展的新业态、新模式，掌握新技术、新工艺、新规范</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eastAsia="zh-CN"/>
        </w:rPr>
      </w:pPr>
      <w:bookmarkStart w:id="165" w:name="_Toc17627"/>
      <w:bookmarkStart w:id="166" w:name="_Toc13851"/>
      <w:r>
        <w:rPr>
          <w:rFonts w:hint="eastAsia" w:ascii="楷体" w:hAnsi="楷体" w:eastAsia="楷体" w:cs="楷体"/>
          <w:sz w:val="32"/>
          <w:szCs w:val="32"/>
          <w:lang w:eastAsia="zh-CN"/>
        </w:rPr>
        <w:t>（三）参考学时</w:t>
      </w:r>
      <w:bookmarkEnd w:id="165"/>
      <w:bookmarkEnd w:id="166"/>
    </w:p>
    <w:p>
      <w:pPr>
        <w:adjustRightInd w:val="0"/>
        <w:snapToGrid w:val="0"/>
        <w:spacing w:line="580" w:lineRule="exact"/>
        <w:ind w:firstLine="960" w:firstLineChars="3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学时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eastAsia="zh-CN"/>
        </w:rPr>
      </w:pPr>
      <w:bookmarkStart w:id="167" w:name="_Toc16957"/>
      <w:bookmarkStart w:id="168" w:name="_Toc12863"/>
      <w:r>
        <w:rPr>
          <w:rFonts w:hint="eastAsia" w:ascii="楷体" w:hAnsi="楷体" w:eastAsia="楷体" w:cs="楷体"/>
          <w:sz w:val="32"/>
          <w:szCs w:val="32"/>
          <w:lang w:eastAsia="zh-CN"/>
        </w:rPr>
        <w:t>（四）课程学分</w:t>
      </w:r>
      <w:bookmarkEnd w:id="167"/>
      <w:bookmarkEnd w:id="168"/>
    </w:p>
    <w:p>
      <w:pPr>
        <w:adjustRightInd w:val="0"/>
        <w:snapToGrid w:val="0"/>
        <w:spacing w:line="580" w:lineRule="exact"/>
        <w:ind w:firstLine="960" w:firstLineChars="3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keepNext w:val="0"/>
        <w:keepLines w:val="0"/>
        <w:pageBreakBefore w:val="0"/>
        <w:widowControl/>
        <w:kinsoku/>
        <w:wordWrap/>
        <w:overflowPunct/>
        <w:topLinePunct w:val="0"/>
        <w:autoSpaceDE w:val="0"/>
        <w:autoSpaceDN/>
        <w:bidi w:val="0"/>
        <w:adjustRightInd w:val="0"/>
        <w:snapToGrid w:val="0"/>
        <w:spacing w:line="580" w:lineRule="exact"/>
        <w:ind w:firstLine="480" w:firstLineChars="200"/>
        <w:jc w:val="center"/>
        <w:textAlignment w:val="baseline"/>
        <w:rPr>
          <w:rFonts w:hint="eastAsia" w:ascii="黑体" w:hAnsi="黑体" w:eastAsia="黑体" w:cs="仿宋_GB2312"/>
          <w:sz w:val="24"/>
          <w:szCs w:val="24"/>
        </w:rPr>
      </w:pPr>
    </w:p>
    <w:p>
      <w:pPr>
        <w:keepNext w:val="0"/>
        <w:keepLines w:val="0"/>
        <w:pageBreakBefore w:val="0"/>
        <w:widowControl/>
        <w:kinsoku/>
        <w:wordWrap/>
        <w:overflowPunct/>
        <w:topLinePunct w:val="0"/>
        <w:autoSpaceDE w:val="0"/>
        <w:autoSpaceDN/>
        <w:bidi w:val="0"/>
        <w:adjustRightInd w:val="0"/>
        <w:snapToGrid w:val="0"/>
        <w:spacing w:line="580" w:lineRule="exact"/>
        <w:ind w:firstLine="480" w:firstLineChars="200"/>
        <w:jc w:val="center"/>
        <w:textAlignment w:val="baseline"/>
        <w:rPr>
          <w:rFonts w:hint="eastAsia" w:ascii="楷体_GB2312" w:hAnsi="仿宋_GB2312" w:eastAsia="楷体_GB2312" w:cs="楷体_GB2312"/>
          <w:sz w:val="32"/>
          <w:szCs w:val="32"/>
          <w:lang w:bidi="ar"/>
        </w:rPr>
      </w:pPr>
      <w:r>
        <w:rPr>
          <w:rFonts w:hint="eastAsia" w:ascii="黑体" w:hAnsi="黑体" w:eastAsia="黑体" w:cs="仿宋_GB2312"/>
          <w:sz w:val="24"/>
          <w:szCs w:val="24"/>
        </w:rPr>
        <w:t>课程内容设计表</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2335"/>
        <w:gridCol w:w="342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教学项目</w:t>
            </w:r>
          </w:p>
        </w:tc>
        <w:tc>
          <w:tcPr>
            <w:tcW w:w="1273"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教学内容与教学要求</w:t>
            </w:r>
          </w:p>
        </w:tc>
        <w:tc>
          <w:tcPr>
            <w:tcW w:w="1864"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教学活动设计建议</w:t>
            </w:r>
          </w:p>
        </w:tc>
        <w:tc>
          <w:tcPr>
            <w:tcW w:w="688" w:type="pct"/>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440" w:lineRule="exact"/>
              <w:jc w:val="center"/>
              <w:rPr>
                <w:rFonts w:hint="default"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项目一</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eastAsia="zh-CN"/>
              </w:rPr>
              <w:t>刀工技术</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1.能</w:t>
            </w:r>
            <w:r>
              <w:rPr>
                <w:rFonts w:hint="eastAsia" w:ascii="仿宋_GB2312" w:hAnsi="仿宋_GB2312" w:eastAsia="仿宋_GB2312" w:cs="仿宋_GB2312"/>
                <w:szCs w:val="21"/>
                <w:lang w:eastAsia="zh-CN"/>
              </w:rPr>
              <w:t>掌握刀工的基础技术操作技能，切、削、片、切丝、刨丝、刨花等</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理解原料处理的重要性及意义</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由易到难，反复训练，记忆刀法</w:t>
            </w:r>
            <w:r>
              <w:rPr>
                <w:rFonts w:hint="eastAsia" w:ascii="仿宋_GB2312" w:hAnsi="仿宋_GB2312" w:eastAsia="仿宋_GB2312" w:cs="仿宋_GB2312"/>
                <w:szCs w:val="21"/>
              </w:rPr>
              <w:t>。</w:t>
            </w:r>
          </w:p>
        </w:tc>
        <w:tc>
          <w:tcPr>
            <w:tcW w:w="1864" w:type="pct"/>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1.利用</w:t>
            </w:r>
            <w:r>
              <w:rPr>
                <w:rFonts w:hint="eastAsia" w:ascii="仿宋_GB2312" w:hAnsi="仿宋_GB2312" w:eastAsia="仿宋_GB2312" w:cs="仿宋_GB2312"/>
                <w:szCs w:val="21"/>
                <w:lang w:eastAsia="zh-CN"/>
              </w:rPr>
              <w:t>视频进行技术操作技能展示</w:t>
            </w:r>
            <w:r>
              <w:rPr>
                <w:rFonts w:hint="eastAsia" w:ascii="仿宋_GB2312" w:hAnsi="仿宋_GB2312" w:eastAsia="仿宋_GB2312" w:cs="仿宋_GB2312"/>
                <w:szCs w:val="21"/>
              </w:rPr>
              <w:t>，演示</w:t>
            </w:r>
            <w:r>
              <w:rPr>
                <w:rFonts w:hint="eastAsia" w:ascii="仿宋_GB2312" w:hAnsi="仿宋_GB2312" w:eastAsia="仿宋_GB2312" w:cs="仿宋_GB2312"/>
                <w:szCs w:val="21"/>
                <w:lang w:eastAsia="zh-CN"/>
              </w:rPr>
              <w:t>削、片、切丝、刨丝、刨花等方法</w:t>
            </w:r>
            <w:r>
              <w:rPr>
                <w:rFonts w:hint="eastAsia" w:ascii="仿宋_GB2312" w:hAnsi="仿宋_GB2312" w:eastAsia="仿宋_GB2312" w:cs="仿宋_GB2312"/>
                <w:szCs w:val="21"/>
              </w:rPr>
              <w:t>，让学生</w:t>
            </w:r>
            <w:r>
              <w:rPr>
                <w:rFonts w:hint="eastAsia" w:ascii="仿宋_GB2312" w:hAnsi="仿宋_GB2312" w:eastAsia="仿宋_GB2312" w:cs="仿宋_GB2312"/>
                <w:szCs w:val="21"/>
                <w:lang w:eastAsia="zh-CN"/>
              </w:rPr>
              <w:t>认识刀工的操作技能</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通过实例，如：切片、切块、切丁和切条等处理使原料具备最佳的形态和质地，让学生认识到原料的处理可以改变成品的形态</w:t>
            </w:r>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3.每小组在教师指导下</w:t>
            </w:r>
            <w:r>
              <w:rPr>
                <w:rFonts w:hint="eastAsia" w:ascii="仿宋_GB2312" w:hAnsi="仿宋_GB2312" w:eastAsia="仿宋_GB2312" w:cs="仿宋_GB2312"/>
                <w:szCs w:val="21"/>
                <w:lang w:eastAsia="zh-CN"/>
              </w:rPr>
              <w:t>练习刀功，使基本动作和基本技巧得到巩固与发展</w:t>
            </w:r>
            <w:r>
              <w:rPr>
                <w:rFonts w:hint="eastAsia" w:ascii="仿宋_GB2312" w:hAnsi="仿宋_GB2312" w:eastAsia="仿宋_GB2312" w:cs="仿宋_GB2312"/>
                <w:szCs w:val="21"/>
              </w:rPr>
              <w:t>。</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项目二</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面团调制</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1.掌握机器和面和手工和面各自的优缺点；</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2.能够独立调制面团，掌握抄拌法、调和法、搅和法三种方法的工艺；</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3.掌握和面的操作要领。</w:t>
            </w:r>
          </w:p>
        </w:tc>
        <w:tc>
          <w:tcPr>
            <w:tcW w:w="1864" w:type="pct"/>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1.视频展示在同等面量下用小型机器和面和手工和面两者的优缺点；</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2.演示三种和面方法；</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3.强调和面的操作要领，让学生养成良好的职业习惯和卫生习惯；</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4.在教师指导的情况下练习三种方式。</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项目三</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面糊调制</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1.能够独立调制乳沫面糊、油脂面糊，面糊符合生产中的质量要求；</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2.熟知影响面糊调制的因素，操作时能够快速完成调制.</w:t>
            </w:r>
          </w:p>
        </w:tc>
        <w:tc>
          <w:tcPr>
            <w:tcW w:w="186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1.通过不同蛋糕图片让同学们认识面糊的不同调制工艺；</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2.演示乳沫面糊、油脂面糊的调制工艺；</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3.强在教师指导的情况下练习乳沫面糊、油脂面糊的调制工艺，并能够制作出成品。</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right="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项目四</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配方平衡</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1.熟知配方平衡的重要性；</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2.掌握配方平衡的原则；</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3.能够换算比例，合理的调整配方的比例。</w:t>
            </w:r>
          </w:p>
        </w:tc>
        <w:tc>
          <w:tcPr>
            <w:tcW w:w="186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1.通过课堂上同学们因为称错原料导致产品失败的例子讲解配方平衡的重要性</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2.理论讲解配方平衡应达到的原则</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3.教师举例换算比例，并应用到实际产品练习中进行验证</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4.同学们通过实际操作的品种进行配方平衡之间的换算</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项目五</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馅心调制</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1.熟知馅心的种类；</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2.能够选择合适的原料进行馅心的制作；</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3.熟知馅心黏度及水分对成品的影响，并能够将黏度和水分把控在合适值；</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4.在遵循基本制作工艺的基础上，独立调制馅心。</w:t>
            </w:r>
          </w:p>
        </w:tc>
        <w:tc>
          <w:tcPr>
            <w:tcW w:w="1864" w:type="pct"/>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1.通过制作蒸饺、面包等，介绍馅心的大类；</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2.以猪肉水打馅为例演示讲解馅心的调制、馅心的黏度及水分控制。</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3.每小组在教师的指导下，以饺子、椰蓉面包为例进行馅心调制的练习，所调馅心要满足大众的口味需求。</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项目六</w:t>
            </w:r>
          </w:p>
          <w:p>
            <w:pPr>
              <w:keepNext w:val="0"/>
              <w:keepLines w:val="0"/>
              <w:pageBreakBefore w:val="0"/>
              <w:widowControl w:val="0"/>
              <w:kinsoku/>
              <w:wordWrap/>
              <w:overflowPunct/>
              <w:topLinePunct w:val="0"/>
              <w:bidi w:val="0"/>
              <w:spacing w:line="33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上馅</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1.能够复述出上馅的6种方法；</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2.能掌握包上法和卷上法的制作工艺，并能够应用到日常的实践中去。</w:t>
            </w:r>
          </w:p>
        </w:tc>
        <w:tc>
          <w:tcPr>
            <w:tcW w:w="186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1.对于六种上馅方法，通过不同的代表产品向同学们进行展示；</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2.将包上法、卷上法作为上馅的重点任务去进行教学；</w:t>
            </w:r>
          </w:p>
          <w:p>
            <w:pPr>
              <w:keepNext w:val="0"/>
              <w:keepLines w:val="0"/>
              <w:pageBreakBefore w:val="0"/>
              <w:widowControl w:val="0"/>
              <w:kinsoku/>
              <w:wordWrap/>
              <w:overflowPunct/>
              <w:topLinePunct w:val="0"/>
              <w:bidi w:val="0"/>
              <w:adjustRightInd w:val="0"/>
              <w:snapToGrid w:val="0"/>
              <w:spacing w:line="33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3.每小组在教师的指导下，以饺子、花卷、豆沙面包、南瓜吐司为例进行包上法和卷上法的练习，扎实基本功，使制品达到标准，符合规范。</w:t>
            </w:r>
          </w:p>
        </w:tc>
        <w:tc>
          <w:tcPr>
            <w:tcW w:w="68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30" w:lineRule="exact"/>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项目七</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发酵</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1.能够判断面团的醒发程度</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  2.熟知影响面团中气体产生的因素、影响气体保持的因素、面团在发酵中的变化</w:t>
            </w:r>
          </w:p>
        </w:tc>
        <w:tc>
          <w:tcPr>
            <w:tcW w:w="186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1.通过制作发面类产品，让学生能够对醒发程度进行判断，如：包子、花卷、面包等；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2.讲解面团中气体产生的因素、影响气体保持的因素、面团在发酵中的变化等理论问题，并应用于实践。</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项目八</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成型成熟</w:t>
            </w:r>
          </w:p>
        </w:tc>
        <w:tc>
          <w:tcPr>
            <w:tcW w:w="127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1.能掌握成型和成熟常用的方法；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2.理解成熟的原理并且能独立运用蒸、煮、煎、烤等成熟方法。</w:t>
            </w:r>
          </w:p>
        </w:tc>
        <w:tc>
          <w:tcPr>
            <w:tcW w:w="1864"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1.通过水饺、蒸饺、曲奇等为同学们演示成型以及成熟工艺；</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2.“三分做功， 七分火功” 每小组在教师的指导下，进行产品的成型和成熟，领悟成型和成熟的重要性。</w:t>
            </w:r>
          </w:p>
        </w:tc>
        <w:tc>
          <w:tcPr>
            <w:tcW w:w="688"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仿宋_GB2312" w:eastAsia="楷体_GB2312" w:cs="仿宋_GB2312"/>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（1）坚持正确的育人理念，充分挖掘本课程思政元素，积极组织课程思政教育，养成正确的</w:t>
      </w:r>
      <w:r>
        <w:rPr>
          <w:rFonts w:hint="eastAsia" w:ascii="仿宋_GB2312" w:hAnsi="仿宋_GB2312" w:eastAsia="仿宋_GB2312" w:cs="仿宋_GB2312"/>
          <w:sz w:val="32"/>
          <w:szCs w:val="32"/>
          <w:lang w:eastAsia="zh-CN"/>
        </w:rPr>
        <w:t>餐饮</w:t>
      </w:r>
      <w:r>
        <w:rPr>
          <w:rFonts w:hint="eastAsia" w:ascii="仿宋_GB2312" w:hAnsi="仿宋_GB2312" w:eastAsia="仿宋_GB2312" w:cs="仿宋_GB2312"/>
          <w:sz w:val="32"/>
          <w:szCs w:val="32"/>
        </w:rPr>
        <w:t>人员职业道德意识，将立德树人贯穿于课程实施全过程。</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课程</w:t>
      </w:r>
      <w:r>
        <w:rPr>
          <w:rFonts w:hint="eastAsia" w:ascii="仿宋_GB2312" w:hAnsi="仿宋_GB2312" w:eastAsia="仿宋_GB2312" w:cs="仿宋_GB2312"/>
          <w:sz w:val="32"/>
          <w:szCs w:val="32"/>
        </w:rPr>
        <w:t>将中式面点和西式面点职业岗位要求融入教学。加强学生操作安全和食品安全意识、严格执行工作规范和操作规程等的教育，使学生形成良好的职业品质和职业素养。采用理实一体化教学，引导学生</w:t>
      </w:r>
      <w:r>
        <w:rPr>
          <w:rFonts w:hint="eastAsia" w:ascii="仿宋_GB2312" w:hAnsi="仿宋_GB2312" w:eastAsia="仿宋_GB2312" w:cs="仿宋_GB2312"/>
          <w:sz w:val="32"/>
          <w:szCs w:val="32"/>
          <w:lang w:eastAsia="zh-CN"/>
        </w:rPr>
        <w:t>掌握面点制作基础知识、面团调制原理、常有面团调制方法、制馅技术、成型技术、成熟技艺</w:t>
      </w:r>
      <w:r>
        <w:rPr>
          <w:rFonts w:hint="eastAsia" w:ascii="仿宋_GB2312" w:hAnsi="仿宋_GB2312" w:eastAsia="仿宋_GB2312" w:cs="仿宋_GB2312"/>
          <w:sz w:val="32"/>
          <w:szCs w:val="32"/>
        </w:rPr>
        <w:t>等专业知识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（4）教学过程中注重学生自主学习，引导学生从多个角度提出问题，用多种方法解决问题，充分利用现代化教学手段，利用多媒体教学平台、数字化资源等途径，拓宽学生的思维，提高教学效果。</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多媒体教室及多媒体教学课件； </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校内烹饪实训中心和生产性实训基地； </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（3）充分发挥现代信息技术优势，开发符合教学要求的微课、多媒体课件、动画、资料文献等资源，形成网络教学资源库，实现教学资源和成果共享。</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（1）教材编写与选用必须</w:t>
      </w:r>
      <w:r>
        <w:rPr>
          <w:rFonts w:hint="default" w:ascii="仿宋_GB2312" w:hAnsi="仿宋_GB2312" w:eastAsia="仿宋_GB2312" w:cs="仿宋_GB2312"/>
          <w:sz w:val="32"/>
          <w:szCs w:val="32"/>
        </w:rPr>
        <w:t>符合二十大对教材的要求且和</w:t>
      </w:r>
      <w:r>
        <w:rPr>
          <w:rFonts w:hint="eastAsia" w:ascii="仿宋_GB2312" w:hAnsi="仿宋_GB2312" w:eastAsia="仿宋_GB2312" w:cs="仿宋_GB2312"/>
          <w:sz w:val="32"/>
          <w:szCs w:val="32"/>
        </w:rPr>
        <w:t>本标准</w:t>
      </w:r>
      <w:r>
        <w:rPr>
          <w:rFonts w:hint="default" w:ascii="仿宋_GB2312" w:hAnsi="仿宋_GB2312" w:eastAsia="仿宋_GB2312" w:cs="仿宋_GB2312"/>
          <w:sz w:val="32"/>
          <w:szCs w:val="32"/>
        </w:rPr>
        <w:t>相统一</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材内容应引入中西面点行业发展的新知识、新技术、新工艺，并将行业企业对中西面点职业岗位要求引入教材内容，合理编排教材的内容。在难度上要有一定的梯度，既要面向全体学生，也要考虑学生发展的差异性、满足不同学生需求。</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）教材呈现方式应符合中职学生的年龄特征与认知规律，图文并茂，增强学生阅读教材的兴趣，拓展学生的创新思维能力，为学生提供思考的空间。</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wordWrap/>
        <w:overflowPunct/>
        <w:topLinePunct w:val="0"/>
        <w:autoSpaceDE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wordWrap/>
        <w:overflowPunct/>
        <w:topLinePunct w:val="0"/>
        <w:autoSpaceDE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wordWrap/>
        <w:overflowPunct/>
        <w:topLinePunct w:val="0"/>
        <w:autoSpaceDE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bidi="ar"/>
        </w:rPr>
      </w:pPr>
    </w:p>
    <w:p>
      <w:pPr>
        <w:keepNext w:val="0"/>
        <w:keepLines w:val="0"/>
        <w:pageBreakBefore w:val="0"/>
        <w:wordWrap/>
        <w:overflowPunct/>
        <w:topLinePunct w:val="0"/>
        <w:autoSpaceDE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lang w:bidi="ar"/>
        </w:rPr>
      </w:pPr>
    </w:p>
    <w:p>
      <w:pPr>
        <w:snapToGrid w:val="0"/>
        <w:spacing w:before="120" w:beforeLines="50" w:after="120" w:afterLines="50" w:line="580" w:lineRule="exact"/>
        <w:jc w:val="center"/>
        <w:rPr>
          <w:rFonts w:hint="eastAsia" w:ascii="方正小标宋_GBK" w:hAnsi="宋体" w:eastAsia="方正小标宋_GBK"/>
          <w:sz w:val="32"/>
          <w:szCs w:val="32"/>
        </w:rPr>
      </w:pPr>
    </w:p>
    <w:p>
      <w:pPr>
        <w:snapToGrid w:val="0"/>
        <w:spacing w:before="120" w:beforeLines="50" w:after="120" w:afterLines="50" w:line="580" w:lineRule="exact"/>
        <w:jc w:val="center"/>
        <w:rPr>
          <w:rFonts w:hint="eastAsia" w:ascii="方正小标宋_GBK" w:hAnsi="宋体" w:eastAsia="方正小标宋_GBK"/>
          <w:sz w:val="32"/>
          <w:szCs w:val="32"/>
        </w:rPr>
      </w:pPr>
    </w:p>
    <w:p>
      <w:pPr>
        <w:snapToGrid w:val="0"/>
        <w:spacing w:before="120" w:beforeLines="50" w:after="120" w:afterLines="50" w:line="580" w:lineRule="exact"/>
        <w:jc w:val="center"/>
        <w:rPr>
          <w:rFonts w:hint="eastAsia" w:ascii="方正小标宋_GBK" w:hAnsi="宋体" w:eastAsia="方正小标宋_GBK"/>
          <w:sz w:val="32"/>
          <w:szCs w:val="32"/>
        </w:rPr>
      </w:pPr>
    </w:p>
    <w:p>
      <w:pPr>
        <w:snapToGrid w:val="0"/>
        <w:spacing w:before="120" w:beforeLines="50" w:after="120" w:afterLines="50" w:line="580" w:lineRule="exact"/>
        <w:jc w:val="center"/>
        <w:rPr>
          <w:rFonts w:hint="eastAsia" w:ascii="方正小标宋_GBK" w:hAnsi="宋体" w:eastAsia="方正小标宋_GBK"/>
          <w:sz w:val="32"/>
          <w:szCs w:val="32"/>
        </w:rPr>
      </w:pPr>
    </w:p>
    <w:p>
      <w:pPr>
        <w:snapToGrid w:val="0"/>
        <w:spacing w:before="120" w:beforeLines="50" w:after="120" w:afterLines="50" w:line="580" w:lineRule="exact"/>
        <w:jc w:val="center"/>
        <w:rPr>
          <w:rFonts w:ascii="方正小标宋_GBK" w:hAnsi="方正小标宋_GBK" w:eastAsia="方正小标宋_GBK" w:cs="方正小标宋_GBK"/>
          <w:sz w:val="36"/>
          <w:szCs w:val="36"/>
        </w:rPr>
      </w:pPr>
      <w:r>
        <w:rPr>
          <w:rFonts w:hint="eastAsia" w:ascii="方正小标宋_GBK" w:hAnsi="宋体" w:eastAsia="方正小标宋_GBK"/>
          <w:sz w:val="36"/>
          <w:szCs w:val="36"/>
        </w:rPr>
        <w:t>岗位实习课程标准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69" w:name="_Toc9757"/>
      <w:bookmarkStart w:id="170" w:name="_Toc23157"/>
      <w:r>
        <w:rPr>
          <w:rFonts w:hint="eastAsia" w:ascii="楷体" w:hAnsi="楷体" w:eastAsia="楷体" w:cs="楷体"/>
          <w:sz w:val="32"/>
          <w:szCs w:val="32"/>
          <w:lang w:eastAsia="zh-CN"/>
        </w:rPr>
        <w:t>（一）</w:t>
      </w:r>
      <w:r>
        <w:rPr>
          <w:rFonts w:hint="eastAsia" w:ascii="楷体" w:hAnsi="楷体" w:eastAsia="楷体" w:cs="楷体"/>
          <w:sz w:val="32"/>
          <w:szCs w:val="32"/>
        </w:rPr>
        <w:t>适用范围</w:t>
      </w:r>
      <w:bookmarkEnd w:id="169"/>
      <w:bookmarkEnd w:id="170"/>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lang w:eastAsia="zh-CN"/>
        </w:rPr>
        <w:t>中西面点</w:t>
      </w:r>
      <w:r>
        <w:rPr>
          <w:rFonts w:hint="eastAsia" w:ascii="仿宋_GB2312" w:hAnsi="仿宋_GB2312" w:eastAsia="仿宋_GB2312" w:cs="仿宋_GB2312"/>
          <w:sz w:val="32"/>
          <w:szCs w:val="32"/>
        </w:rPr>
        <w:t>专业学生的岗位实习安排，面向面点原料选配、中式面点制作、西式面点制作等岗位（群）或技术领域。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71" w:name="_Toc32664"/>
      <w:bookmarkStart w:id="172" w:name="_Toc18149"/>
      <w:r>
        <w:rPr>
          <w:rFonts w:hint="eastAsia" w:ascii="楷体" w:hAnsi="楷体" w:eastAsia="楷体" w:cs="楷体"/>
          <w:sz w:val="32"/>
          <w:szCs w:val="32"/>
        </w:rPr>
        <w:t>（二）实习目标</w:t>
      </w:r>
      <w:bookmarkEnd w:id="171"/>
      <w:bookmarkEnd w:id="172"/>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岗位实习，使学生了解餐饮类企业的组织架构、规章制度、企业文化、运作模式和安全生产基本知识，以及前沿技术和数字经济驱动下职业场景的变化；掌握中式面点制作、西式面点制作等岗位的典型工作流程、工作内容及核心技能；养成吃苦耐劳、精益求精、爱岗敬业、诚实守信的职业精神；锤炼学生意志品质，服务学生全面发展，提高岗位适应能力和独立工作能力，从而增强学生的就业能力，更好地为地方经济发展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73" w:name="_Toc22610"/>
      <w:bookmarkStart w:id="174" w:name="_Toc24962"/>
      <w:r>
        <w:rPr>
          <w:rFonts w:hint="eastAsia" w:ascii="楷体" w:hAnsi="楷体" w:eastAsia="楷体" w:cs="楷体"/>
          <w:sz w:val="32"/>
          <w:szCs w:val="32"/>
          <w:lang w:eastAsia="zh-CN"/>
        </w:rPr>
        <w:t>（</w:t>
      </w:r>
      <w:r>
        <w:rPr>
          <w:rFonts w:hint="eastAsia" w:ascii="楷体" w:hAnsi="楷体" w:eastAsia="楷体" w:cs="楷体"/>
          <w:sz w:val="32"/>
          <w:szCs w:val="32"/>
        </w:rPr>
        <w:t>三）时间安排</w:t>
      </w:r>
      <w:bookmarkEnd w:id="173"/>
      <w:bookmarkEnd w:id="174"/>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岗位实习一般为期6个月，</w:t>
      </w:r>
      <w:r>
        <w:rPr>
          <w:rFonts w:hint="eastAsia" w:ascii="仿宋_GB2312" w:hAnsi="仿宋_GB2312" w:eastAsia="仿宋_GB2312" w:cs="仿宋_GB2312"/>
          <w:sz w:val="32"/>
          <w:szCs w:val="32"/>
          <w:lang w:val="en-US" w:eastAsia="zh-CN"/>
        </w:rPr>
        <w:t>共720学时，</w:t>
      </w:r>
      <w:r>
        <w:rPr>
          <w:rFonts w:hint="eastAsia" w:ascii="仿宋_GB2312" w:hAnsi="仿宋_GB2312" w:eastAsia="仿宋_GB2312" w:cs="仿宋_GB2312"/>
          <w:sz w:val="32"/>
          <w:szCs w:val="32"/>
          <w:lang w:eastAsia="zh-CN"/>
        </w:rPr>
        <w:t>采用集中和分段相结合的形式，探索工学交替、多学期、分段式实践性教学改革。建议集中安排在第</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学期（</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周）和第</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学期（6周）。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75" w:name="bookmark4"/>
      <w:bookmarkEnd w:id="175"/>
      <w:bookmarkStart w:id="176" w:name="_Toc20814"/>
      <w:bookmarkStart w:id="177" w:name="_Toc13392"/>
      <w:r>
        <w:rPr>
          <w:rFonts w:hint="eastAsia" w:ascii="楷体" w:hAnsi="楷体" w:eastAsia="楷体" w:cs="楷体"/>
          <w:sz w:val="32"/>
          <w:szCs w:val="32"/>
        </w:rPr>
        <w:t>（四）实习条件</w:t>
      </w:r>
      <w:bookmarkEnd w:id="176"/>
      <w:bookmarkEnd w:id="177"/>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1.实习单位</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专业岗位实习主要面向大中型餐饮企业、星级酒店餐饮部门、厨房、各类企事业单位的后勤餐饮服务等部门，独立的中式面点企业或烘焙、西点企业，从事中西点生产等企业或生产活动场所，实习单位选定须由教学部进行实地考察和综合评估，并经学校产教融合办公室研究确定，具体要求如下。</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（2）经营范围：餐饮销售、食品制作销售等。</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2.设施条件</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（2）专业设施设备：应配备实习工作岗位所需的仪器设备和工具，以及安全生产所需的防护设施与设备，能够保障学生完成实习任务，并为学生提供便捷的学习场所。</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（3）信息资料：实习单位能够提供实习工作岗位所涉及的生产工艺与流程、作业指导书、设备操作手册、技术文件、等学习资料及管理规章制度文件。</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3.实习岗位</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rPr>
        <w:t>面点原料选配、中式面点制作、西式面点制作</w:t>
      </w:r>
      <w:r>
        <w:rPr>
          <w:rFonts w:hint="eastAsia" w:ascii="仿宋_GB2312" w:hAnsi="仿宋_GB2312" w:eastAsia="仿宋_GB2312" w:cs="仿宋_GB2312"/>
          <w:sz w:val="32"/>
          <w:szCs w:val="32"/>
          <w:lang w:eastAsia="zh-CN"/>
        </w:rPr>
        <w:t>等岗位。</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4.人员配备</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bookmarkStart w:id="178" w:name="bookmark8"/>
      <w:bookmarkEnd w:id="178"/>
      <w:r>
        <w:rPr>
          <w:rFonts w:hint="eastAsia" w:ascii="仿宋_GB2312" w:hAnsi="仿宋_GB2312" w:eastAsia="仿宋_GB2312" w:cs="仿宋_GB2312"/>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（1）实习单位专门人员：应具有良好的职业道德和职业素养，来自生产、管理一线，拥有丰富的工作实践经验，有</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5人。</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5.其他要求</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实习单位可以由学校按要求选择、安排，应当取得学生及其法定监护人（或家长）签字的知情同意书。对学生及其法定监护人（或家长）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（2）岗位实习学生人数一般不超过实习单位在岗职工总数的10% ，在具体岗位进行岗位实习的学生人数一般不高于同类岗位在岗职工总人数的20%。</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79" w:name="bookmark10"/>
      <w:bookmarkEnd w:id="179"/>
      <w:bookmarkStart w:id="180" w:name="_Toc19621"/>
      <w:bookmarkStart w:id="181" w:name="_Toc1231"/>
      <w:r>
        <w:rPr>
          <w:rFonts w:hint="eastAsia" w:ascii="楷体" w:hAnsi="楷体" w:eastAsia="楷体" w:cs="楷体"/>
          <w:sz w:val="32"/>
          <w:szCs w:val="32"/>
        </w:rPr>
        <w:t>（五）实习内容</w:t>
      </w:r>
      <w:bookmarkEnd w:id="180"/>
      <w:bookmarkEnd w:id="181"/>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ascii="仿宋_GB2312" w:hAnsi="仿宋_GB2312" w:eastAsia="仿宋_GB2312" w:cs="仿宋_GB2312"/>
          <w:sz w:val="32"/>
          <w:szCs w:val="32"/>
        </w:rPr>
        <w:t>面点原料选配、中式面点制作、西式面点制作</w:t>
      </w:r>
      <w:r>
        <w:rPr>
          <w:rFonts w:hint="eastAsia" w:ascii="仿宋_GB2312" w:hAnsi="仿宋_GB2312" w:eastAsia="仿宋_GB2312" w:cs="仿宋_GB2312"/>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hint="eastAsia" w:ascii="黑体" w:hAnsi="黑体" w:eastAsia="黑体" w:cs="仿宋_GB2312"/>
          <w:sz w:val="24"/>
          <w:szCs w:val="24"/>
        </w:rPr>
      </w:pPr>
      <w:r>
        <w:rPr>
          <w:rFonts w:hint="eastAsia" w:ascii="黑体" w:hAnsi="黑体" w:eastAsia="黑体" w:cs="仿宋_GB2312"/>
          <w:sz w:val="24"/>
          <w:szCs w:val="24"/>
        </w:rPr>
        <w:t xml:space="preserve">表 1 </w:t>
      </w:r>
      <w:r>
        <w:rPr>
          <w:rFonts w:hint="eastAsia" w:ascii="黑体" w:hAnsi="黑体" w:eastAsia="黑体" w:cs="仿宋_GB2312"/>
          <w:sz w:val="24"/>
          <w:szCs w:val="24"/>
          <w:lang w:eastAsia="zh-CN"/>
        </w:rPr>
        <w:t>中西面点</w:t>
      </w:r>
      <w:r>
        <w:rPr>
          <w:rFonts w:hint="eastAsia" w:ascii="黑体" w:hAnsi="黑体" w:eastAsia="黑体" w:cs="仿宋_GB2312"/>
          <w:sz w:val="24"/>
          <w:szCs w:val="24"/>
        </w:rPr>
        <w:t>专业岗位实习内容</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4"/>
        <w:gridCol w:w="780"/>
        <w:gridCol w:w="4290"/>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jc w:val="center"/>
              <w:rPr>
                <w:rFonts w:hint="eastAsia" w:ascii="黑体" w:hAnsi="黑体" w:eastAsia="黑体" w:cs="黑体"/>
                <w:szCs w:val="21"/>
              </w:rPr>
            </w:pPr>
            <w:r>
              <w:rPr>
                <w:rFonts w:hint="eastAsia" w:ascii="黑体" w:hAnsi="黑体" w:eastAsia="黑体" w:cs="黑体"/>
                <w:szCs w:val="21"/>
              </w:rPr>
              <w:t>序号</w:t>
            </w:r>
          </w:p>
        </w:tc>
        <w:tc>
          <w:tcPr>
            <w:tcW w:w="1114" w:type="dxa"/>
          </w:tcPr>
          <w:p>
            <w:pPr>
              <w:jc w:val="center"/>
              <w:rPr>
                <w:rFonts w:hint="eastAsia" w:ascii="黑体" w:hAnsi="黑体" w:eastAsia="黑体" w:cs="黑体"/>
                <w:szCs w:val="21"/>
              </w:rPr>
            </w:pPr>
            <w:r>
              <w:rPr>
                <w:rFonts w:hint="eastAsia" w:ascii="黑体" w:hAnsi="黑体" w:eastAsia="黑体" w:cs="黑体"/>
                <w:szCs w:val="21"/>
              </w:rPr>
              <w:t>实习项目</w:t>
            </w:r>
          </w:p>
        </w:tc>
        <w:tc>
          <w:tcPr>
            <w:tcW w:w="780" w:type="dxa"/>
          </w:tcPr>
          <w:p>
            <w:pPr>
              <w:jc w:val="center"/>
              <w:rPr>
                <w:rFonts w:hint="eastAsia" w:ascii="黑体" w:hAnsi="黑体" w:eastAsia="黑体" w:cs="黑体"/>
                <w:szCs w:val="21"/>
              </w:rPr>
            </w:pPr>
            <w:r>
              <w:rPr>
                <w:rFonts w:hint="eastAsia" w:ascii="黑体" w:hAnsi="黑体" w:eastAsia="黑体" w:cs="黑体"/>
                <w:szCs w:val="21"/>
              </w:rPr>
              <w:t>时间</w:t>
            </w:r>
          </w:p>
        </w:tc>
        <w:tc>
          <w:tcPr>
            <w:tcW w:w="4290" w:type="dxa"/>
          </w:tcPr>
          <w:p>
            <w:pPr>
              <w:jc w:val="center"/>
              <w:rPr>
                <w:rFonts w:hint="eastAsia" w:ascii="黑体" w:hAnsi="黑体" w:eastAsia="黑体" w:cs="黑体"/>
                <w:szCs w:val="21"/>
              </w:rPr>
            </w:pPr>
            <w:r>
              <w:rPr>
                <w:rFonts w:hint="eastAsia" w:ascii="黑体" w:hAnsi="黑体" w:eastAsia="黑体" w:cs="黑体"/>
                <w:szCs w:val="21"/>
              </w:rPr>
              <w:t>工作任务</w:t>
            </w:r>
          </w:p>
        </w:tc>
        <w:tc>
          <w:tcPr>
            <w:tcW w:w="2122" w:type="dxa"/>
          </w:tcPr>
          <w:p>
            <w:pPr>
              <w:jc w:val="center"/>
              <w:rPr>
                <w:rFonts w:hint="eastAsia" w:ascii="黑体" w:hAnsi="黑体" w:eastAsia="黑体" w:cs="黑体"/>
                <w:szCs w:val="21"/>
              </w:rPr>
            </w:pPr>
            <w:r>
              <w:rPr>
                <w:rFonts w:hint="eastAsia" w:ascii="黑体" w:hAnsi="黑体" w:eastAsia="黑体" w:cs="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5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1</w:t>
            </w:r>
          </w:p>
        </w:tc>
        <w:tc>
          <w:tcPr>
            <w:tcW w:w="111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项目一</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岗前培训</w:t>
            </w:r>
          </w:p>
        </w:tc>
        <w:tc>
          <w:tcPr>
            <w:tcW w:w="78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2周</w:t>
            </w:r>
          </w:p>
        </w:tc>
        <w:tc>
          <w:tcPr>
            <w:tcW w:w="4290" w:type="dxa"/>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1.安全生产法律法规与企业各项规章制度学习；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2.企业文化学习与体验；</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3.企业环境与组织架构学习；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4.企业岗位工作内容与作业流程学习。</w:t>
            </w:r>
          </w:p>
        </w:tc>
        <w:tc>
          <w:tcPr>
            <w:tcW w:w="212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1.能够遵守安全生产管理制度和法律法规，树立良好的职业道德；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2.认同与融入企业文化；</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75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111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项目二</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职业道德培训</w:t>
            </w:r>
          </w:p>
        </w:tc>
        <w:tc>
          <w:tcPr>
            <w:tcW w:w="78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1周</w:t>
            </w:r>
          </w:p>
        </w:tc>
        <w:tc>
          <w:tcPr>
            <w:tcW w:w="4290" w:type="dxa"/>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1.职业要求职业标准学习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2.养成良好的职业素养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3.职业道德对职业生涯的影响</w:t>
            </w:r>
          </w:p>
        </w:tc>
        <w:tc>
          <w:tcPr>
            <w:tcW w:w="2122" w:type="dxa"/>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1.培养学生具备良好的职业道德</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2.增强学生责任感和使命感，具备团结协作精神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c>
          <w:tcPr>
            <w:tcW w:w="111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项目三</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中式面点</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制作</w:t>
            </w:r>
          </w:p>
        </w:tc>
        <w:tc>
          <w:tcPr>
            <w:tcW w:w="78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10周</w:t>
            </w:r>
          </w:p>
        </w:tc>
        <w:tc>
          <w:tcPr>
            <w:tcW w:w="4290" w:type="dxa"/>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1.能根据岗位要求完成生产前备；</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2.能根据岗位品种要求调制水调面团、膨松面团、层酥面团、米粉面团和杂粮面团；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3.能根据馅心制作要求调制  生拌类咸馅、糖油馅、果仁、蜜饯馅；</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4.能对有馅类、无馅类制品 生坯成型；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5.能用煮、蒸、烙、炸、煎、 烤等成熟方法对制品进行成  熟；</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6.能根据出餐要求对面点产 品进行简单装饰；</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7.能根据出餐要求，合理调 整时间及加工顺序完成出餐，并做好产品的保温工作；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8.能根据宴席的规格、顾客  要求、主题选择、搭配、组合面点，并能按照要求制作面点。</w:t>
            </w:r>
          </w:p>
        </w:tc>
        <w:tc>
          <w:tcPr>
            <w:tcW w:w="212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典型工作任务引领，基于工作过程，开展以师带徒、班组化教学。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111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项目四</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西式面点</w:t>
            </w:r>
          </w:p>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制作</w:t>
            </w:r>
          </w:p>
        </w:tc>
        <w:tc>
          <w:tcPr>
            <w:tcW w:w="78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10周</w:t>
            </w:r>
          </w:p>
        </w:tc>
        <w:tc>
          <w:tcPr>
            <w:tcW w:w="429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1.能正确选用制作面包、西饼、蛋糕、巧克力制品所需要的工具、用具、设备及原料，完成生产前准备；</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2.能按装饰酱或馅心配方调制简单的奶油酱、黄油酱等；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3.能按照面包、西饼、蛋糕配方配料，并搅拌或调制出相应面团、面糊或乳冻液；</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4.能用直接发酵法或二次发酵法发酵面团；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5.能使用模具或手工成型面包、西饼、蛋糕等生坯；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6.能用烤箱、风炉等设备，将面包、西饼、蛋糕生坯成熟或用冷冻柜等设备将产品定型；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7.能正确选用盛装的盘子和装饰的工具用具，合理选用装饰原料，对产品进行装饰； </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8.能根据展台的主题、规格、 顾客要求选择、搭配、组合产品，并能按照要求制作、装饰相应产品。</w:t>
            </w:r>
          </w:p>
        </w:tc>
        <w:tc>
          <w:tcPr>
            <w:tcW w:w="212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典型工作任务引领，基于工作过程，开展以师带徒、班组化教学。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c>
          <w:tcPr>
            <w:tcW w:w="1114"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机动</w:t>
            </w:r>
          </w:p>
        </w:tc>
        <w:tc>
          <w:tcPr>
            <w:tcW w:w="780" w:type="dxa"/>
            <w:vAlign w:val="center"/>
          </w:tcPr>
          <w:p>
            <w:pPr>
              <w:pStyle w:val="7"/>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1周</w:t>
            </w:r>
          </w:p>
        </w:tc>
        <w:tc>
          <w:tcPr>
            <w:tcW w:w="4290" w:type="dxa"/>
            <w:vAlign w:val="center"/>
          </w:tcPr>
          <w:p>
            <w:pPr>
              <w:keepNext w:val="0"/>
              <w:keepLines w:val="0"/>
              <w:pageBreakBefore w:val="0"/>
              <w:kinsoku/>
              <w:wordWrap/>
              <w:overflowPunct/>
              <w:topLinePunct w:val="0"/>
              <w:bidi w:val="0"/>
              <w:adjustRightInd w:val="0"/>
              <w:snapToGrid w:val="0"/>
              <w:spacing w:line="380" w:lineRule="exact"/>
              <w:ind w:firstLine="560" w:firstLineChars="200"/>
              <w:jc w:val="both"/>
              <w:rPr>
                <w:rFonts w:ascii="黑体" w:hAnsi="黑体" w:eastAsia="黑体" w:cs="仿宋_GB2312"/>
                <w:sz w:val="28"/>
                <w:szCs w:val="28"/>
                <w:highlight w:val="yellow"/>
              </w:rPr>
            </w:pPr>
          </w:p>
        </w:tc>
        <w:tc>
          <w:tcPr>
            <w:tcW w:w="2122" w:type="dxa"/>
            <w:vAlign w:val="center"/>
          </w:tcPr>
          <w:p>
            <w:pPr>
              <w:keepNext w:val="0"/>
              <w:keepLines w:val="0"/>
              <w:pageBreakBefore w:val="0"/>
              <w:kinsoku/>
              <w:wordWrap/>
              <w:overflowPunct/>
              <w:topLinePunct w:val="0"/>
              <w:bidi w:val="0"/>
              <w:adjustRightInd w:val="0"/>
              <w:snapToGrid w:val="0"/>
              <w:spacing w:line="380" w:lineRule="exact"/>
              <w:ind w:firstLine="560" w:firstLineChars="200"/>
              <w:jc w:val="both"/>
              <w:rPr>
                <w:rFonts w:ascii="黑体" w:hAnsi="黑体" w:eastAsia="黑体" w:cs="仿宋_GB2312"/>
                <w:sz w:val="28"/>
                <w:szCs w:val="28"/>
                <w:highlight w:val="yellow"/>
              </w:rPr>
            </w:pP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82" w:name="_Toc22302"/>
      <w:bookmarkStart w:id="183" w:name="_Toc10079"/>
      <w:r>
        <w:rPr>
          <w:rFonts w:hint="eastAsia" w:ascii="楷体" w:hAnsi="楷体" w:eastAsia="楷体" w:cs="楷体"/>
          <w:sz w:val="32"/>
          <w:szCs w:val="32"/>
        </w:rPr>
        <w:t>（六）实习成果</w:t>
      </w:r>
      <w:bookmarkEnd w:id="182"/>
      <w:bookmarkEnd w:id="183"/>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实习学生应在岗位实习结束时提交实习记录表、实习单位鉴定材料,并且必须提交以下成果中的任一项：</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（1）岗位实习总结报告一份；</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（2）实习期间形成的技术方案或论文；</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84" w:name="_Toc27187"/>
      <w:bookmarkStart w:id="185" w:name="_Toc10708"/>
      <w:r>
        <w:rPr>
          <w:rFonts w:hint="eastAsia" w:ascii="楷体" w:hAnsi="楷体" w:eastAsia="楷体" w:cs="楷体"/>
          <w:sz w:val="32"/>
          <w:szCs w:val="32"/>
        </w:rPr>
        <w:t>（七）考核评价</w:t>
      </w:r>
      <w:bookmarkEnd w:id="184"/>
      <w:bookmarkEnd w:id="185"/>
    </w:p>
    <w:p>
      <w:pPr>
        <w:adjustRightInd w:val="0"/>
        <w:snapToGrid w:val="0"/>
        <w:spacing w:line="58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1.考核内容</w:t>
      </w:r>
      <w:bookmarkStart w:id="186" w:name="bookmark13"/>
      <w:bookmarkEnd w:id="186"/>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2.考核形式</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bookmarkStart w:id="187" w:name="bookmark14"/>
      <w:bookmarkEnd w:id="187"/>
      <w:r>
        <w:rPr>
          <w:rFonts w:hint="eastAsia" w:ascii="仿宋_GB2312" w:hAnsi="仿宋_GB2312" w:eastAsia="仿宋_GB2312" w:cs="仿宋_GB2312"/>
          <w:sz w:val="32"/>
          <w:szCs w:val="32"/>
          <w:lang w:eastAsia="zh-CN"/>
        </w:rPr>
        <w:t>岗位实习考核应将过程性考核与结果性考核相结合，按照一定的比例综合计算岗位实习成绩。学生实习考核要纳入学业评价，考核成绩作为毕业的重要依据。</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3.考核组织</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bookmarkStart w:id="188" w:name="bookmark15"/>
      <w:bookmarkEnd w:id="188"/>
      <w:r>
        <w:rPr>
          <w:rFonts w:hint="eastAsia" w:ascii="仿宋_GB2312" w:hAnsi="仿宋_GB2312" w:eastAsia="仿宋_GB2312" w:cs="仿宋_GB2312"/>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 w:hAnsi="楷体" w:eastAsia="楷体" w:cs="楷体"/>
          <w:sz w:val="32"/>
          <w:szCs w:val="32"/>
        </w:rPr>
      </w:pPr>
      <w:bookmarkStart w:id="189" w:name="_Toc24158"/>
      <w:bookmarkStart w:id="190" w:name="_Toc11808"/>
      <w:r>
        <w:rPr>
          <w:rFonts w:hint="eastAsia" w:ascii="楷体" w:hAnsi="楷体" w:eastAsia="楷体" w:cs="楷体"/>
          <w:sz w:val="32"/>
          <w:szCs w:val="32"/>
        </w:rPr>
        <w:t>（八）实习管理</w:t>
      </w:r>
      <w:bookmarkEnd w:id="189"/>
      <w:bookmarkEnd w:id="190"/>
    </w:p>
    <w:p>
      <w:pPr>
        <w:adjustRightInd w:val="0"/>
        <w:snapToGrid w:val="0"/>
        <w:spacing w:line="580" w:lineRule="exact"/>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191" w:name="_Toc27857"/>
      <w:bookmarkStart w:id="192" w:name="_Toc3147"/>
      <w:r>
        <w:rPr>
          <w:rFonts w:hint="eastAsia" w:ascii="仿宋_GB2312" w:hAnsi="仿宋_GB2312" w:eastAsia="仿宋_GB2312" w:cs="仿宋_GB2312"/>
          <w:sz w:val="32"/>
          <w:szCs w:val="32"/>
        </w:rPr>
        <w:t>1.管理制度</w:t>
      </w:r>
      <w:bookmarkEnd w:id="191"/>
      <w:bookmarkEnd w:id="192"/>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bookmarkStart w:id="193" w:name="bookmark17"/>
      <w:bookmarkEnd w:id="193"/>
      <w:r>
        <w:rPr>
          <w:rFonts w:hint="eastAsia" w:ascii="仿宋_GB2312" w:hAnsi="仿宋_GB2312" w:eastAsia="仿宋_GB2312" w:cs="仿宋_GB2312"/>
          <w:sz w:val="32"/>
          <w:szCs w:val="32"/>
          <w:lang w:eastAsia="zh-CN"/>
        </w:rPr>
        <w:t>（1）学生参加岗位实习前，学校、实习单位、学生三方必须以教育部发布的《职业院校学生岗位实习三方协议（示范文本）》 为基础签订实习协议 ，并依法严格履行协议中有关条款。</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2.过程管理</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岗位实习前。学生应积极参加岗位实习动员和安全教育，学习有关文件和安全知识，明确岗位实习的目的和要求，按要求签订职业院校学生岗位实习三方协议书，明确岗位实习任务书及实习计划，按规定办理岗位实习的所有相关手续。</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（3）岗位实习结束。学生应按岗位实习单位要求办理离岗手续，并按学校规定时间返校报到；学生应提交完整的岗位实习材料，如岗位实习记录、 岗位实习总结报告等。</w:t>
      </w:r>
    </w:p>
    <w:p>
      <w:pPr>
        <w:adjustRightInd w:val="0"/>
        <w:snapToGrid w:val="0"/>
        <w:spacing w:line="580" w:lineRule="exact"/>
        <w:ind w:firstLine="640" w:firstLineChars="200"/>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3.总结交流</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岗位实习总结应有实习学生、指导教师和实习单位专门人员参与，可以采用师生总结交流、学校与实习单位双方总结交流等多种方式进行。</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adjustRightInd w:val="0"/>
        <w:snapToGrid w:val="0"/>
        <w:spacing w:line="58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11" w:type="default"/>
      <w:pgSz w:w="11906" w:h="16838"/>
      <w:pgMar w:top="2041" w:right="1531" w:bottom="1984"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09FF03-ED67-4882-9BCF-D556BAEA0A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98E66C41-F79A-41B6-942A-965AAE1898DC}"/>
  </w:font>
  <w:font w:name="仿宋_GB2312">
    <w:panose1 w:val="02010609030101010101"/>
    <w:charset w:val="86"/>
    <w:family w:val="modern"/>
    <w:pitch w:val="default"/>
    <w:sig w:usb0="00000001" w:usb1="080E0000" w:usb2="00000000" w:usb3="00000000" w:csb0="00040000" w:csb1="00000000"/>
    <w:embedRegular r:id="rId3" w:fontKey="{E72AC1ED-36C0-4CEB-97BE-539C50D2631C}"/>
  </w:font>
  <w:font w:name="楷体">
    <w:panose1 w:val="02010609060101010101"/>
    <w:charset w:val="86"/>
    <w:family w:val="modern"/>
    <w:pitch w:val="default"/>
    <w:sig w:usb0="800002BF" w:usb1="38CF7CFA" w:usb2="00000016" w:usb3="00000000" w:csb0="00040001" w:csb1="00000000"/>
    <w:embedRegular r:id="rId4" w:fontKey="{F365705C-A4C5-4DCD-862E-A4911C76DA57}"/>
  </w:font>
  <w:font w:name="仿宋">
    <w:panose1 w:val="02010609060101010101"/>
    <w:charset w:val="86"/>
    <w:family w:val="modern"/>
    <w:pitch w:val="default"/>
    <w:sig w:usb0="800002BF" w:usb1="38CF7CFA" w:usb2="00000016" w:usb3="00000000" w:csb0="00040001" w:csb1="00000000"/>
    <w:embedRegular r:id="rId5" w:fontKey="{67121098-157A-43B7-BDAC-F26623A95CE5}"/>
  </w:font>
  <w:font w:name="方正小标宋_GBK">
    <w:panose1 w:val="02000000000000000000"/>
    <w:charset w:val="86"/>
    <w:family w:val="script"/>
    <w:pitch w:val="default"/>
    <w:sig w:usb0="A00002BF" w:usb1="38CF7CFA" w:usb2="00082016" w:usb3="00000000" w:csb0="00040001" w:csb1="00000000"/>
    <w:embedRegular r:id="rId6" w:fontKey="{C6631273-A59E-44AF-8FFA-45C246D0AA0F}"/>
  </w:font>
  <w:font w:name="Arial Unicode MS">
    <w:panose1 w:val="020B0604020202020204"/>
    <w:charset w:val="86"/>
    <w:family w:val="auto"/>
    <w:pitch w:val="default"/>
    <w:sig w:usb0="FFFFFFFF" w:usb1="E9FFFFFF" w:usb2="0000003F" w:usb3="00000000" w:csb0="603F01FF" w:csb1="FFFF0000"/>
    <w:embedRegular r:id="rId7" w:fontKey="{B39FD721-2309-4FC4-AF1F-FF69E6991CAA}"/>
  </w:font>
  <w:font w:name="楷体_GB2312">
    <w:panose1 w:val="02010609030101010101"/>
    <w:charset w:val="86"/>
    <w:family w:val="modern"/>
    <w:pitch w:val="default"/>
    <w:sig w:usb0="00000001" w:usb1="080E0000" w:usb2="00000000" w:usb3="00000000" w:csb0="00040000" w:csb1="00000000"/>
    <w:embedRegular r:id="rId8" w:fontKey="{CBF9281F-2CE4-4276-86E1-072E242D2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jc w:val="center"/>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104</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49D08E"/>
    <w:multiLevelType w:val="singleLevel"/>
    <w:tmpl w:val="C649D08E"/>
    <w:lvl w:ilvl="0" w:tentative="0">
      <w:start w:val="1"/>
      <w:numFmt w:val="decimal"/>
      <w:lvlText w:val="%1."/>
      <w:lvlJc w:val="left"/>
      <w:pPr>
        <w:tabs>
          <w:tab w:val="left" w:pos="312"/>
        </w:tabs>
      </w:pPr>
    </w:lvl>
  </w:abstractNum>
  <w:abstractNum w:abstractNumId="1">
    <w:nsid w:val="CA5289FD"/>
    <w:multiLevelType w:val="singleLevel"/>
    <w:tmpl w:val="CA5289FD"/>
    <w:lvl w:ilvl="0" w:tentative="0">
      <w:start w:val="5"/>
      <w:numFmt w:val="chineseCounting"/>
      <w:suff w:val="nothing"/>
      <w:lvlText w:val="（%1）"/>
      <w:lvlJc w:val="left"/>
      <w:rPr>
        <w:rFonts w:hint="eastAsia"/>
      </w:rPr>
    </w:lvl>
  </w:abstractNum>
  <w:abstractNum w:abstractNumId="2">
    <w:nsid w:val="DC3E4D5B"/>
    <w:multiLevelType w:val="singleLevel"/>
    <w:tmpl w:val="DC3E4D5B"/>
    <w:lvl w:ilvl="0" w:tentative="0">
      <w:start w:val="1"/>
      <w:numFmt w:val="decimal"/>
      <w:lvlText w:val="%1."/>
      <w:lvlJc w:val="left"/>
      <w:pPr>
        <w:tabs>
          <w:tab w:val="left" w:pos="312"/>
        </w:tabs>
      </w:pPr>
    </w:lvl>
  </w:abstractNum>
  <w:abstractNum w:abstractNumId="3">
    <w:nsid w:val="E251FE02"/>
    <w:multiLevelType w:val="singleLevel"/>
    <w:tmpl w:val="E251FE02"/>
    <w:lvl w:ilvl="0" w:tentative="0">
      <w:start w:val="1"/>
      <w:numFmt w:val="decimal"/>
      <w:lvlText w:val="%1."/>
      <w:lvlJc w:val="left"/>
      <w:pPr>
        <w:tabs>
          <w:tab w:val="left" w:pos="312"/>
        </w:tabs>
      </w:pPr>
    </w:lvl>
  </w:abstractNum>
  <w:abstractNum w:abstractNumId="4">
    <w:nsid w:val="F7C954EF"/>
    <w:multiLevelType w:val="singleLevel"/>
    <w:tmpl w:val="F7C954EF"/>
    <w:lvl w:ilvl="0" w:tentative="0">
      <w:start w:val="12"/>
      <w:numFmt w:val="chineseCounting"/>
      <w:suff w:val="nothing"/>
      <w:lvlText w:val="%1、"/>
      <w:lvlJc w:val="left"/>
      <w:rPr>
        <w:rFonts w:hint="eastAsia"/>
      </w:rPr>
    </w:lvl>
  </w:abstractNum>
  <w:abstractNum w:abstractNumId="5">
    <w:nsid w:val="05971F14"/>
    <w:multiLevelType w:val="singleLevel"/>
    <w:tmpl w:val="05971F14"/>
    <w:lvl w:ilvl="0" w:tentative="0">
      <w:start w:val="1"/>
      <w:numFmt w:val="decimal"/>
      <w:lvlText w:val="%1."/>
      <w:lvlJc w:val="left"/>
      <w:pPr>
        <w:tabs>
          <w:tab w:val="left" w:pos="312"/>
        </w:tabs>
      </w:pPr>
    </w:lvl>
  </w:abstractNum>
  <w:abstractNum w:abstractNumId="6">
    <w:nsid w:val="0716D555"/>
    <w:multiLevelType w:val="singleLevel"/>
    <w:tmpl w:val="0716D555"/>
    <w:lvl w:ilvl="0" w:tentative="0">
      <w:start w:val="1"/>
      <w:numFmt w:val="decimal"/>
      <w:lvlText w:val="%1."/>
      <w:lvlJc w:val="left"/>
      <w:pPr>
        <w:tabs>
          <w:tab w:val="left" w:pos="312"/>
        </w:tabs>
      </w:pPr>
    </w:lvl>
  </w:abstractNum>
  <w:abstractNum w:abstractNumId="7">
    <w:nsid w:val="0C06602E"/>
    <w:multiLevelType w:val="singleLevel"/>
    <w:tmpl w:val="0C06602E"/>
    <w:lvl w:ilvl="0" w:tentative="0">
      <w:start w:val="9"/>
      <w:numFmt w:val="decimal"/>
      <w:lvlText w:val="%1."/>
      <w:lvlJc w:val="left"/>
      <w:pPr>
        <w:tabs>
          <w:tab w:val="left" w:pos="312"/>
        </w:tabs>
      </w:pPr>
    </w:lvl>
  </w:abstractNum>
  <w:abstractNum w:abstractNumId="8">
    <w:nsid w:val="1B2DC934"/>
    <w:multiLevelType w:val="singleLevel"/>
    <w:tmpl w:val="1B2DC934"/>
    <w:lvl w:ilvl="0" w:tentative="0">
      <w:start w:val="1"/>
      <w:numFmt w:val="decimal"/>
      <w:lvlText w:val="%1."/>
      <w:lvlJc w:val="left"/>
      <w:pPr>
        <w:tabs>
          <w:tab w:val="left" w:pos="312"/>
        </w:tabs>
      </w:pPr>
    </w:lvl>
  </w:abstractNum>
  <w:abstractNum w:abstractNumId="9">
    <w:nsid w:val="7E570676"/>
    <w:multiLevelType w:val="singleLevel"/>
    <w:tmpl w:val="7E570676"/>
    <w:lvl w:ilvl="0" w:tentative="0">
      <w:start w:val="1"/>
      <w:numFmt w:val="decimal"/>
      <w:lvlText w:val="%1."/>
      <w:lvlJc w:val="left"/>
      <w:pPr>
        <w:tabs>
          <w:tab w:val="left" w:pos="312"/>
        </w:tabs>
      </w:pPr>
    </w:lvl>
  </w:abstractNum>
  <w:num w:numId="1">
    <w:abstractNumId w:val="4"/>
  </w:num>
  <w:num w:numId="2">
    <w:abstractNumId w:val="7"/>
  </w:num>
  <w:num w:numId="3">
    <w:abstractNumId w:val="5"/>
  </w:num>
  <w:num w:numId="4">
    <w:abstractNumId w:val="1"/>
  </w:num>
  <w:num w:numId="5">
    <w:abstractNumId w:val="3"/>
  </w:num>
  <w:num w:numId="6">
    <w:abstractNumId w:val="8"/>
  </w:num>
  <w:num w:numId="7">
    <w:abstractNumId w:val="2"/>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f5f325ab-558f-439d-9e9e-208fc41ca332"/>
  </w:docVars>
  <w:rsids>
    <w:rsidRoot w:val="4EC94844"/>
    <w:rsid w:val="00014001"/>
    <w:rsid w:val="00016ECE"/>
    <w:rsid w:val="000326EE"/>
    <w:rsid w:val="0003634A"/>
    <w:rsid w:val="00055A11"/>
    <w:rsid w:val="00061E63"/>
    <w:rsid w:val="00082044"/>
    <w:rsid w:val="000D1321"/>
    <w:rsid w:val="0011754B"/>
    <w:rsid w:val="00120184"/>
    <w:rsid w:val="00124ECC"/>
    <w:rsid w:val="001616D8"/>
    <w:rsid w:val="00181275"/>
    <w:rsid w:val="001927AA"/>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95111"/>
    <w:rsid w:val="004D1367"/>
    <w:rsid w:val="004D3168"/>
    <w:rsid w:val="00515CD6"/>
    <w:rsid w:val="00537455"/>
    <w:rsid w:val="005747D1"/>
    <w:rsid w:val="00576EBA"/>
    <w:rsid w:val="005A4713"/>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AA73C2"/>
    <w:rsid w:val="00AF4554"/>
    <w:rsid w:val="00B43C43"/>
    <w:rsid w:val="00B44A3F"/>
    <w:rsid w:val="00B64695"/>
    <w:rsid w:val="00B9383D"/>
    <w:rsid w:val="00B96D26"/>
    <w:rsid w:val="00BD5342"/>
    <w:rsid w:val="00BF3A07"/>
    <w:rsid w:val="00BF595F"/>
    <w:rsid w:val="00BF6FB8"/>
    <w:rsid w:val="00C21533"/>
    <w:rsid w:val="00C777E8"/>
    <w:rsid w:val="00C92014"/>
    <w:rsid w:val="00C94498"/>
    <w:rsid w:val="00C954BC"/>
    <w:rsid w:val="00C958AA"/>
    <w:rsid w:val="00CA04A5"/>
    <w:rsid w:val="00CB1CE9"/>
    <w:rsid w:val="00CC31BF"/>
    <w:rsid w:val="00CC46C9"/>
    <w:rsid w:val="00CC61DF"/>
    <w:rsid w:val="00CD2126"/>
    <w:rsid w:val="00D05722"/>
    <w:rsid w:val="00D15740"/>
    <w:rsid w:val="00D30013"/>
    <w:rsid w:val="00D75919"/>
    <w:rsid w:val="00DC1A25"/>
    <w:rsid w:val="00DC722C"/>
    <w:rsid w:val="00E00048"/>
    <w:rsid w:val="00E14040"/>
    <w:rsid w:val="00E24DCF"/>
    <w:rsid w:val="00E33B1E"/>
    <w:rsid w:val="00E46AA7"/>
    <w:rsid w:val="00E73E48"/>
    <w:rsid w:val="00E80965"/>
    <w:rsid w:val="00E870F0"/>
    <w:rsid w:val="00EF35F9"/>
    <w:rsid w:val="00F061FD"/>
    <w:rsid w:val="00F81AA1"/>
    <w:rsid w:val="00F94086"/>
    <w:rsid w:val="00FB08B5"/>
    <w:rsid w:val="00FF3DC7"/>
    <w:rsid w:val="01311D17"/>
    <w:rsid w:val="013B0DE8"/>
    <w:rsid w:val="013D6280"/>
    <w:rsid w:val="017A16F1"/>
    <w:rsid w:val="01814321"/>
    <w:rsid w:val="01AC3A93"/>
    <w:rsid w:val="01D95F47"/>
    <w:rsid w:val="01F92046"/>
    <w:rsid w:val="02353087"/>
    <w:rsid w:val="02355837"/>
    <w:rsid w:val="023833EF"/>
    <w:rsid w:val="02466C72"/>
    <w:rsid w:val="02590097"/>
    <w:rsid w:val="02924A37"/>
    <w:rsid w:val="02AB5AF9"/>
    <w:rsid w:val="02D768EE"/>
    <w:rsid w:val="02D7696B"/>
    <w:rsid w:val="031B2C7F"/>
    <w:rsid w:val="03200295"/>
    <w:rsid w:val="03647097"/>
    <w:rsid w:val="03963644"/>
    <w:rsid w:val="039B4330"/>
    <w:rsid w:val="03D26FB6"/>
    <w:rsid w:val="042167B5"/>
    <w:rsid w:val="04FC6AE0"/>
    <w:rsid w:val="0501370E"/>
    <w:rsid w:val="054162A1"/>
    <w:rsid w:val="0542105F"/>
    <w:rsid w:val="054D2E98"/>
    <w:rsid w:val="054D6A14"/>
    <w:rsid w:val="058C27C0"/>
    <w:rsid w:val="05B178CA"/>
    <w:rsid w:val="05B7054C"/>
    <w:rsid w:val="05C173E2"/>
    <w:rsid w:val="05F31C91"/>
    <w:rsid w:val="05F61781"/>
    <w:rsid w:val="06001634"/>
    <w:rsid w:val="060F45F1"/>
    <w:rsid w:val="06314567"/>
    <w:rsid w:val="0686237C"/>
    <w:rsid w:val="06954AF6"/>
    <w:rsid w:val="06A55A83"/>
    <w:rsid w:val="06B56F46"/>
    <w:rsid w:val="06B86A37"/>
    <w:rsid w:val="06C70A28"/>
    <w:rsid w:val="06D41C0B"/>
    <w:rsid w:val="06DB44D3"/>
    <w:rsid w:val="06E11AE9"/>
    <w:rsid w:val="06E670D4"/>
    <w:rsid w:val="07107A01"/>
    <w:rsid w:val="0737795B"/>
    <w:rsid w:val="0755531E"/>
    <w:rsid w:val="075D7207"/>
    <w:rsid w:val="0760636A"/>
    <w:rsid w:val="07775550"/>
    <w:rsid w:val="07802062"/>
    <w:rsid w:val="079052BE"/>
    <w:rsid w:val="079270C9"/>
    <w:rsid w:val="07934DB6"/>
    <w:rsid w:val="079E5C2C"/>
    <w:rsid w:val="07C12195"/>
    <w:rsid w:val="07CC279A"/>
    <w:rsid w:val="07F3586E"/>
    <w:rsid w:val="07F43A9E"/>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F41468"/>
    <w:rsid w:val="0A05611E"/>
    <w:rsid w:val="0A0A00B0"/>
    <w:rsid w:val="0A122902"/>
    <w:rsid w:val="0A2D3298"/>
    <w:rsid w:val="0A3463D4"/>
    <w:rsid w:val="0A36114C"/>
    <w:rsid w:val="0A556F05"/>
    <w:rsid w:val="0A9D2046"/>
    <w:rsid w:val="0AAD010A"/>
    <w:rsid w:val="0ABA1CA5"/>
    <w:rsid w:val="0ABA2D7D"/>
    <w:rsid w:val="0AEC6126"/>
    <w:rsid w:val="0B077F8D"/>
    <w:rsid w:val="0B0B4C13"/>
    <w:rsid w:val="0B122F3A"/>
    <w:rsid w:val="0B7D3DAB"/>
    <w:rsid w:val="0B7F3FC7"/>
    <w:rsid w:val="0B883C36"/>
    <w:rsid w:val="0B8F2117"/>
    <w:rsid w:val="0B9E444D"/>
    <w:rsid w:val="0BA17A99"/>
    <w:rsid w:val="0BA63302"/>
    <w:rsid w:val="0C1C35C4"/>
    <w:rsid w:val="0C25691C"/>
    <w:rsid w:val="0C421CC7"/>
    <w:rsid w:val="0C495D4B"/>
    <w:rsid w:val="0C542D5E"/>
    <w:rsid w:val="0C5C1C12"/>
    <w:rsid w:val="0C605BA6"/>
    <w:rsid w:val="0C796C68"/>
    <w:rsid w:val="0C803B53"/>
    <w:rsid w:val="0C851988"/>
    <w:rsid w:val="0C923562"/>
    <w:rsid w:val="0CD261EE"/>
    <w:rsid w:val="0CD93263"/>
    <w:rsid w:val="0CF20312"/>
    <w:rsid w:val="0D1D167E"/>
    <w:rsid w:val="0D865C68"/>
    <w:rsid w:val="0D9D0734"/>
    <w:rsid w:val="0DA76EF7"/>
    <w:rsid w:val="0E016238"/>
    <w:rsid w:val="0E0B2E8C"/>
    <w:rsid w:val="0E782D35"/>
    <w:rsid w:val="0EA37FCC"/>
    <w:rsid w:val="0EAD041A"/>
    <w:rsid w:val="0EB6385C"/>
    <w:rsid w:val="0EBE66C8"/>
    <w:rsid w:val="0ECC26BE"/>
    <w:rsid w:val="0EEC4C7F"/>
    <w:rsid w:val="0EEC7088"/>
    <w:rsid w:val="0EED1247"/>
    <w:rsid w:val="0EEF6D6E"/>
    <w:rsid w:val="0EF97BEC"/>
    <w:rsid w:val="0F0740B7"/>
    <w:rsid w:val="0F470958"/>
    <w:rsid w:val="0F4F5A5E"/>
    <w:rsid w:val="0F59068B"/>
    <w:rsid w:val="0F67724C"/>
    <w:rsid w:val="0F8676D2"/>
    <w:rsid w:val="0F8737DE"/>
    <w:rsid w:val="0FBA737B"/>
    <w:rsid w:val="0FCF19E0"/>
    <w:rsid w:val="0FD541B5"/>
    <w:rsid w:val="0FD97FCA"/>
    <w:rsid w:val="0FDE750E"/>
    <w:rsid w:val="0FFA71A6"/>
    <w:rsid w:val="10172A20"/>
    <w:rsid w:val="1032010A"/>
    <w:rsid w:val="10341166"/>
    <w:rsid w:val="103A6D61"/>
    <w:rsid w:val="10414385"/>
    <w:rsid w:val="104A4BA3"/>
    <w:rsid w:val="10826527"/>
    <w:rsid w:val="108C2A50"/>
    <w:rsid w:val="10923E54"/>
    <w:rsid w:val="10B71B0D"/>
    <w:rsid w:val="10CB7366"/>
    <w:rsid w:val="10E11279"/>
    <w:rsid w:val="110B69CC"/>
    <w:rsid w:val="11126ECE"/>
    <w:rsid w:val="11166833"/>
    <w:rsid w:val="112371A2"/>
    <w:rsid w:val="1146319E"/>
    <w:rsid w:val="115A134C"/>
    <w:rsid w:val="117B50A7"/>
    <w:rsid w:val="11943BFC"/>
    <w:rsid w:val="11973128"/>
    <w:rsid w:val="119D51A7"/>
    <w:rsid w:val="11AF709B"/>
    <w:rsid w:val="11D34725"/>
    <w:rsid w:val="11E20E0C"/>
    <w:rsid w:val="11EC3A38"/>
    <w:rsid w:val="11F748B7"/>
    <w:rsid w:val="1225795C"/>
    <w:rsid w:val="127C3F7B"/>
    <w:rsid w:val="127E28E2"/>
    <w:rsid w:val="12956B0A"/>
    <w:rsid w:val="12963118"/>
    <w:rsid w:val="12BE3627"/>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096E8D"/>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67E5A"/>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6D339A"/>
    <w:rsid w:val="16B965DF"/>
    <w:rsid w:val="16BE26F7"/>
    <w:rsid w:val="16E946F7"/>
    <w:rsid w:val="16EB2510"/>
    <w:rsid w:val="16FB6BF7"/>
    <w:rsid w:val="17057A40"/>
    <w:rsid w:val="17173305"/>
    <w:rsid w:val="172F4AF3"/>
    <w:rsid w:val="174F484D"/>
    <w:rsid w:val="176F3A0D"/>
    <w:rsid w:val="177F789E"/>
    <w:rsid w:val="17A50911"/>
    <w:rsid w:val="17C47C4D"/>
    <w:rsid w:val="17CA0378"/>
    <w:rsid w:val="17D124FB"/>
    <w:rsid w:val="17D3547E"/>
    <w:rsid w:val="17DB2585"/>
    <w:rsid w:val="17EC6540"/>
    <w:rsid w:val="17F200CF"/>
    <w:rsid w:val="180472E9"/>
    <w:rsid w:val="18100480"/>
    <w:rsid w:val="18147845"/>
    <w:rsid w:val="181A12FF"/>
    <w:rsid w:val="18644328"/>
    <w:rsid w:val="18697B91"/>
    <w:rsid w:val="186D1037"/>
    <w:rsid w:val="188869F8"/>
    <w:rsid w:val="18DD40DB"/>
    <w:rsid w:val="18E5190D"/>
    <w:rsid w:val="18E86D07"/>
    <w:rsid w:val="18F305D7"/>
    <w:rsid w:val="19063631"/>
    <w:rsid w:val="19102702"/>
    <w:rsid w:val="19205339"/>
    <w:rsid w:val="193321B6"/>
    <w:rsid w:val="1937619F"/>
    <w:rsid w:val="194B54E8"/>
    <w:rsid w:val="195A572B"/>
    <w:rsid w:val="195F17CA"/>
    <w:rsid w:val="197B3EB5"/>
    <w:rsid w:val="19976414"/>
    <w:rsid w:val="19BF7536"/>
    <w:rsid w:val="19D20E68"/>
    <w:rsid w:val="19FB3354"/>
    <w:rsid w:val="1A284012"/>
    <w:rsid w:val="1A441E72"/>
    <w:rsid w:val="1A561D51"/>
    <w:rsid w:val="1A750A6F"/>
    <w:rsid w:val="1A78700C"/>
    <w:rsid w:val="1A9609E5"/>
    <w:rsid w:val="1AA72BF2"/>
    <w:rsid w:val="1AB5173E"/>
    <w:rsid w:val="1AB71087"/>
    <w:rsid w:val="1AB772D9"/>
    <w:rsid w:val="1AC217DA"/>
    <w:rsid w:val="1ADD03C2"/>
    <w:rsid w:val="1AE6371B"/>
    <w:rsid w:val="1AE83608"/>
    <w:rsid w:val="1B34092A"/>
    <w:rsid w:val="1B39686C"/>
    <w:rsid w:val="1B4B5C73"/>
    <w:rsid w:val="1B5C578B"/>
    <w:rsid w:val="1B7F1479"/>
    <w:rsid w:val="1B8401D9"/>
    <w:rsid w:val="1B852F33"/>
    <w:rsid w:val="1B8C0175"/>
    <w:rsid w:val="1B920528"/>
    <w:rsid w:val="1BA3785E"/>
    <w:rsid w:val="1BE31D2D"/>
    <w:rsid w:val="1BE85270"/>
    <w:rsid w:val="1BF86013"/>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CF322CF"/>
    <w:rsid w:val="1D0C7C22"/>
    <w:rsid w:val="1D2D5631"/>
    <w:rsid w:val="1D2D6274"/>
    <w:rsid w:val="1D44297A"/>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426EBA"/>
    <w:rsid w:val="1E5730FC"/>
    <w:rsid w:val="1E5935A7"/>
    <w:rsid w:val="1EA01E32"/>
    <w:rsid w:val="1EA77665"/>
    <w:rsid w:val="1EAE454F"/>
    <w:rsid w:val="1ED32208"/>
    <w:rsid w:val="1EE703CB"/>
    <w:rsid w:val="1EE833D9"/>
    <w:rsid w:val="1EFB3209"/>
    <w:rsid w:val="1F250E09"/>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11C233A"/>
    <w:rsid w:val="2163586D"/>
    <w:rsid w:val="216B2BCB"/>
    <w:rsid w:val="21867A05"/>
    <w:rsid w:val="21A36214"/>
    <w:rsid w:val="21A51484"/>
    <w:rsid w:val="21A97250"/>
    <w:rsid w:val="21BC3427"/>
    <w:rsid w:val="21D249F9"/>
    <w:rsid w:val="21FA5CFD"/>
    <w:rsid w:val="22482F0D"/>
    <w:rsid w:val="2265761B"/>
    <w:rsid w:val="226D64CF"/>
    <w:rsid w:val="22873A35"/>
    <w:rsid w:val="22A46395"/>
    <w:rsid w:val="22D62D35"/>
    <w:rsid w:val="22E9024C"/>
    <w:rsid w:val="23047A11"/>
    <w:rsid w:val="230D6ABB"/>
    <w:rsid w:val="231D38A1"/>
    <w:rsid w:val="23335FA6"/>
    <w:rsid w:val="233844FA"/>
    <w:rsid w:val="236553F8"/>
    <w:rsid w:val="236725CA"/>
    <w:rsid w:val="236E206F"/>
    <w:rsid w:val="237D6BE6"/>
    <w:rsid w:val="23965F23"/>
    <w:rsid w:val="23B7040A"/>
    <w:rsid w:val="23F32A04"/>
    <w:rsid w:val="240115C5"/>
    <w:rsid w:val="2409047A"/>
    <w:rsid w:val="242F6132"/>
    <w:rsid w:val="243674C1"/>
    <w:rsid w:val="243C43AB"/>
    <w:rsid w:val="244119C2"/>
    <w:rsid w:val="24704055"/>
    <w:rsid w:val="247B1377"/>
    <w:rsid w:val="24831FDA"/>
    <w:rsid w:val="249B7324"/>
    <w:rsid w:val="249E6E14"/>
    <w:rsid w:val="24D41B53"/>
    <w:rsid w:val="24F609FE"/>
    <w:rsid w:val="2500187D"/>
    <w:rsid w:val="252A2082"/>
    <w:rsid w:val="253D2136"/>
    <w:rsid w:val="255933D3"/>
    <w:rsid w:val="257F4890"/>
    <w:rsid w:val="25AE6362"/>
    <w:rsid w:val="25BF5294"/>
    <w:rsid w:val="25CB2A91"/>
    <w:rsid w:val="25E44CFA"/>
    <w:rsid w:val="260333D3"/>
    <w:rsid w:val="26173D8C"/>
    <w:rsid w:val="263E440B"/>
    <w:rsid w:val="26502390"/>
    <w:rsid w:val="265754CC"/>
    <w:rsid w:val="266412CF"/>
    <w:rsid w:val="26B6250E"/>
    <w:rsid w:val="26C3146B"/>
    <w:rsid w:val="26D46B1D"/>
    <w:rsid w:val="26DA3A5F"/>
    <w:rsid w:val="26DA5E4E"/>
    <w:rsid w:val="26E03714"/>
    <w:rsid w:val="271A7E79"/>
    <w:rsid w:val="27384086"/>
    <w:rsid w:val="27716A62"/>
    <w:rsid w:val="277976C4"/>
    <w:rsid w:val="280276BA"/>
    <w:rsid w:val="281B28E6"/>
    <w:rsid w:val="287560BC"/>
    <w:rsid w:val="289D11E7"/>
    <w:rsid w:val="28B9246E"/>
    <w:rsid w:val="28E05C4D"/>
    <w:rsid w:val="28F645FA"/>
    <w:rsid w:val="29080D00"/>
    <w:rsid w:val="2912392D"/>
    <w:rsid w:val="291458F7"/>
    <w:rsid w:val="291A315C"/>
    <w:rsid w:val="292A336C"/>
    <w:rsid w:val="293164A9"/>
    <w:rsid w:val="294A57BC"/>
    <w:rsid w:val="29594DBB"/>
    <w:rsid w:val="29946A38"/>
    <w:rsid w:val="29AD7216"/>
    <w:rsid w:val="29AE5D4B"/>
    <w:rsid w:val="29B665AC"/>
    <w:rsid w:val="29B73240"/>
    <w:rsid w:val="29BD31B6"/>
    <w:rsid w:val="29C55F3E"/>
    <w:rsid w:val="29D02B23"/>
    <w:rsid w:val="29E67293"/>
    <w:rsid w:val="29EF52A8"/>
    <w:rsid w:val="29FF2103"/>
    <w:rsid w:val="2A1B4A63"/>
    <w:rsid w:val="2A27165A"/>
    <w:rsid w:val="2A2C6C70"/>
    <w:rsid w:val="2A314286"/>
    <w:rsid w:val="2A32409D"/>
    <w:rsid w:val="2A5D507B"/>
    <w:rsid w:val="2A6D00A4"/>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325495"/>
    <w:rsid w:val="2D55028C"/>
    <w:rsid w:val="2D564730"/>
    <w:rsid w:val="2D572256"/>
    <w:rsid w:val="2D5B3AF4"/>
    <w:rsid w:val="2D5C161A"/>
    <w:rsid w:val="2D5C786C"/>
    <w:rsid w:val="2D655102"/>
    <w:rsid w:val="2D6F35DC"/>
    <w:rsid w:val="2D885E2D"/>
    <w:rsid w:val="2D897EA7"/>
    <w:rsid w:val="2DA52FC1"/>
    <w:rsid w:val="2DAA05D8"/>
    <w:rsid w:val="2DB5089D"/>
    <w:rsid w:val="2DBF0B60"/>
    <w:rsid w:val="2DD92C6B"/>
    <w:rsid w:val="2DFD2DFD"/>
    <w:rsid w:val="2E00469C"/>
    <w:rsid w:val="2E06258A"/>
    <w:rsid w:val="2E1732AD"/>
    <w:rsid w:val="2E2E2FB7"/>
    <w:rsid w:val="2E3223C1"/>
    <w:rsid w:val="2E47051C"/>
    <w:rsid w:val="2E7B7E90"/>
    <w:rsid w:val="2E876B6B"/>
    <w:rsid w:val="2E8B0409"/>
    <w:rsid w:val="2EB5368F"/>
    <w:rsid w:val="2EC658E5"/>
    <w:rsid w:val="2ED2428A"/>
    <w:rsid w:val="2ED26038"/>
    <w:rsid w:val="2ED81174"/>
    <w:rsid w:val="2EDA4EED"/>
    <w:rsid w:val="2EEA15D4"/>
    <w:rsid w:val="2F05640D"/>
    <w:rsid w:val="2F195A15"/>
    <w:rsid w:val="2F1F6DA3"/>
    <w:rsid w:val="2F2755E4"/>
    <w:rsid w:val="2F39620A"/>
    <w:rsid w:val="2F3F0ED9"/>
    <w:rsid w:val="2F5B1F86"/>
    <w:rsid w:val="2F6A4275"/>
    <w:rsid w:val="2F827A5E"/>
    <w:rsid w:val="2F912594"/>
    <w:rsid w:val="2F9B4F5A"/>
    <w:rsid w:val="2FAF5BAA"/>
    <w:rsid w:val="2FAF6436"/>
    <w:rsid w:val="2FB120F1"/>
    <w:rsid w:val="2FB7522E"/>
    <w:rsid w:val="2FDE6C5E"/>
    <w:rsid w:val="2FE04785"/>
    <w:rsid w:val="2FF7C9F7"/>
    <w:rsid w:val="3011493E"/>
    <w:rsid w:val="304F147C"/>
    <w:rsid w:val="30722B71"/>
    <w:rsid w:val="30B874AF"/>
    <w:rsid w:val="30CE6A2C"/>
    <w:rsid w:val="30E12562"/>
    <w:rsid w:val="30E2500D"/>
    <w:rsid w:val="311A3CC6"/>
    <w:rsid w:val="313661D4"/>
    <w:rsid w:val="314D5E4A"/>
    <w:rsid w:val="314E47F2"/>
    <w:rsid w:val="315536FF"/>
    <w:rsid w:val="31572824"/>
    <w:rsid w:val="317C7BCE"/>
    <w:rsid w:val="31813D45"/>
    <w:rsid w:val="3184468C"/>
    <w:rsid w:val="318C4BC4"/>
    <w:rsid w:val="319728AC"/>
    <w:rsid w:val="31DB5204"/>
    <w:rsid w:val="31F83949"/>
    <w:rsid w:val="31FE5396"/>
    <w:rsid w:val="32476D3D"/>
    <w:rsid w:val="32766BCA"/>
    <w:rsid w:val="328C626F"/>
    <w:rsid w:val="32917FB8"/>
    <w:rsid w:val="32B31CDC"/>
    <w:rsid w:val="32D210D5"/>
    <w:rsid w:val="33072028"/>
    <w:rsid w:val="33093FF2"/>
    <w:rsid w:val="33125B58"/>
    <w:rsid w:val="335A2AA0"/>
    <w:rsid w:val="337D18C1"/>
    <w:rsid w:val="33820815"/>
    <w:rsid w:val="339A6D9C"/>
    <w:rsid w:val="33AF4B9A"/>
    <w:rsid w:val="33B96FA5"/>
    <w:rsid w:val="33D46BA0"/>
    <w:rsid w:val="33F46A50"/>
    <w:rsid w:val="33F7209D"/>
    <w:rsid w:val="340A0022"/>
    <w:rsid w:val="342B1D46"/>
    <w:rsid w:val="343A139C"/>
    <w:rsid w:val="345031E8"/>
    <w:rsid w:val="349072D0"/>
    <w:rsid w:val="349C377A"/>
    <w:rsid w:val="34AA3252"/>
    <w:rsid w:val="34AF1EA4"/>
    <w:rsid w:val="34DA5C46"/>
    <w:rsid w:val="34E750E6"/>
    <w:rsid w:val="34EF5164"/>
    <w:rsid w:val="34F767F8"/>
    <w:rsid w:val="354613A4"/>
    <w:rsid w:val="35690D78"/>
    <w:rsid w:val="358838F4"/>
    <w:rsid w:val="3599754E"/>
    <w:rsid w:val="35BC534C"/>
    <w:rsid w:val="35DC59EE"/>
    <w:rsid w:val="35F5260C"/>
    <w:rsid w:val="3628478F"/>
    <w:rsid w:val="363C540D"/>
    <w:rsid w:val="363F1655"/>
    <w:rsid w:val="364041CF"/>
    <w:rsid w:val="36445382"/>
    <w:rsid w:val="36624145"/>
    <w:rsid w:val="366A124C"/>
    <w:rsid w:val="3677558D"/>
    <w:rsid w:val="36855F59"/>
    <w:rsid w:val="36910587"/>
    <w:rsid w:val="369D13B4"/>
    <w:rsid w:val="36AD49D7"/>
    <w:rsid w:val="36C46BAE"/>
    <w:rsid w:val="36EF52AD"/>
    <w:rsid w:val="371A20CB"/>
    <w:rsid w:val="372F7F47"/>
    <w:rsid w:val="37623CD1"/>
    <w:rsid w:val="376C0673"/>
    <w:rsid w:val="377834F5"/>
    <w:rsid w:val="379A346B"/>
    <w:rsid w:val="379B15D5"/>
    <w:rsid w:val="37B3277F"/>
    <w:rsid w:val="37B55A0C"/>
    <w:rsid w:val="37BD53AB"/>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E254B7"/>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2F64"/>
    <w:rsid w:val="3A6443DE"/>
    <w:rsid w:val="3A6A181A"/>
    <w:rsid w:val="3A871D46"/>
    <w:rsid w:val="3ABE1B66"/>
    <w:rsid w:val="3ACA050B"/>
    <w:rsid w:val="3AD66EB0"/>
    <w:rsid w:val="3B190B4B"/>
    <w:rsid w:val="3B302256"/>
    <w:rsid w:val="3B392C42"/>
    <w:rsid w:val="3B400992"/>
    <w:rsid w:val="3B4402BD"/>
    <w:rsid w:val="3B4958D4"/>
    <w:rsid w:val="3B6B584A"/>
    <w:rsid w:val="3B8E3B9E"/>
    <w:rsid w:val="3BB645EB"/>
    <w:rsid w:val="3BC6175E"/>
    <w:rsid w:val="3BD11425"/>
    <w:rsid w:val="3BDC04F6"/>
    <w:rsid w:val="3BE21884"/>
    <w:rsid w:val="3C066714"/>
    <w:rsid w:val="3C2123AD"/>
    <w:rsid w:val="3C4B6B57"/>
    <w:rsid w:val="3C4F036E"/>
    <w:rsid w:val="3C85293C"/>
    <w:rsid w:val="3C8A1D00"/>
    <w:rsid w:val="3CAD3C40"/>
    <w:rsid w:val="3CBE5E4E"/>
    <w:rsid w:val="3CC82828"/>
    <w:rsid w:val="3CCC15BB"/>
    <w:rsid w:val="3D1C4922"/>
    <w:rsid w:val="3D1E68EC"/>
    <w:rsid w:val="3D4A76E1"/>
    <w:rsid w:val="3D614EFB"/>
    <w:rsid w:val="3D695EAF"/>
    <w:rsid w:val="3D762284"/>
    <w:rsid w:val="3D8C4327"/>
    <w:rsid w:val="3D960B78"/>
    <w:rsid w:val="3DA07301"/>
    <w:rsid w:val="3DB1150E"/>
    <w:rsid w:val="3DB810C5"/>
    <w:rsid w:val="3DCE126C"/>
    <w:rsid w:val="3DD47A3F"/>
    <w:rsid w:val="3DF05AD7"/>
    <w:rsid w:val="3E57579A"/>
    <w:rsid w:val="3E71234B"/>
    <w:rsid w:val="3E720C9E"/>
    <w:rsid w:val="3E834C59"/>
    <w:rsid w:val="3E8F505B"/>
    <w:rsid w:val="3E95498C"/>
    <w:rsid w:val="3EA11583"/>
    <w:rsid w:val="3EB32D81"/>
    <w:rsid w:val="3EBA4F1D"/>
    <w:rsid w:val="3ED0092C"/>
    <w:rsid w:val="3ED43706"/>
    <w:rsid w:val="3EE33949"/>
    <w:rsid w:val="3EED2ADA"/>
    <w:rsid w:val="3EFE69D5"/>
    <w:rsid w:val="3F0F346C"/>
    <w:rsid w:val="3F23468E"/>
    <w:rsid w:val="3F3917BB"/>
    <w:rsid w:val="3F626F64"/>
    <w:rsid w:val="3F656A54"/>
    <w:rsid w:val="3F79434E"/>
    <w:rsid w:val="3F8773B7"/>
    <w:rsid w:val="3FA62662"/>
    <w:rsid w:val="3FC04016"/>
    <w:rsid w:val="3FE441B3"/>
    <w:rsid w:val="400022D9"/>
    <w:rsid w:val="4018393D"/>
    <w:rsid w:val="401B7113"/>
    <w:rsid w:val="403F2E01"/>
    <w:rsid w:val="404448BC"/>
    <w:rsid w:val="404C551E"/>
    <w:rsid w:val="405E3BCF"/>
    <w:rsid w:val="40905D53"/>
    <w:rsid w:val="40A55471"/>
    <w:rsid w:val="40B652F0"/>
    <w:rsid w:val="40DC2D46"/>
    <w:rsid w:val="40E1210B"/>
    <w:rsid w:val="410758DC"/>
    <w:rsid w:val="411B561D"/>
    <w:rsid w:val="411E335F"/>
    <w:rsid w:val="412907A1"/>
    <w:rsid w:val="414D154E"/>
    <w:rsid w:val="41517290"/>
    <w:rsid w:val="41605419"/>
    <w:rsid w:val="417148FA"/>
    <w:rsid w:val="41BB48E2"/>
    <w:rsid w:val="41D61543"/>
    <w:rsid w:val="41D8350E"/>
    <w:rsid w:val="41E023C2"/>
    <w:rsid w:val="42213106"/>
    <w:rsid w:val="424D048E"/>
    <w:rsid w:val="426923B8"/>
    <w:rsid w:val="42895E35"/>
    <w:rsid w:val="428B0580"/>
    <w:rsid w:val="42A11B51"/>
    <w:rsid w:val="42CA554C"/>
    <w:rsid w:val="42DF0DC2"/>
    <w:rsid w:val="42E126F9"/>
    <w:rsid w:val="42FC322C"/>
    <w:rsid w:val="430D368B"/>
    <w:rsid w:val="43222DDF"/>
    <w:rsid w:val="433E78CA"/>
    <w:rsid w:val="43490A08"/>
    <w:rsid w:val="434F77FF"/>
    <w:rsid w:val="4353713C"/>
    <w:rsid w:val="43A23DD3"/>
    <w:rsid w:val="43B71550"/>
    <w:rsid w:val="43CA332A"/>
    <w:rsid w:val="43CF0940"/>
    <w:rsid w:val="43D83C99"/>
    <w:rsid w:val="43E837B0"/>
    <w:rsid w:val="43EE7B9A"/>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5E95EFC"/>
    <w:rsid w:val="462E7BA0"/>
    <w:rsid w:val="467632F5"/>
    <w:rsid w:val="46A41C10"/>
    <w:rsid w:val="46B01136"/>
    <w:rsid w:val="46C54618"/>
    <w:rsid w:val="46E56E89"/>
    <w:rsid w:val="46FF778E"/>
    <w:rsid w:val="472745EF"/>
    <w:rsid w:val="47297A89"/>
    <w:rsid w:val="473C62ED"/>
    <w:rsid w:val="47554B02"/>
    <w:rsid w:val="47555600"/>
    <w:rsid w:val="47667684"/>
    <w:rsid w:val="477E22F4"/>
    <w:rsid w:val="47A11021"/>
    <w:rsid w:val="47B2035D"/>
    <w:rsid w:val="47B57E4D"/>
    <w:rsid w:val="47DE7B5D"/>
    <w:rsid w:val="47EF2F84"/>
    <w:rsid w:val="48124F71"/>
    <w:rsid w:val="48217291"/>
    <w:rsid w:val="48345216"/>
    <w:rsid w:val="483B438C"/>
    <w:rsid w:val="483C0579"/>
    <w:rsid w:val="484511D1"/>
    <w:rsid w:val="487072EF"/>
    <w:rsid w:val="48855A71"/>
    <w:rsid w:val="4893018E"/>
    <w:rsid w:val="48E94252"/>
    <w:rsid w:val="48F45D6D"/>
    <w:rsid w:val="49042C8A"/>
    <w:rsid w:val="49044BE8"/>
    <w:rsid w:val="492F652F"/>
    <w:rsid w:val="493C0826"/>
    <w:rsid w:val="49415E3C"/>
    <w:rsid w:val="496C5C52"/>
    <w:rsid w:val="496C5FAD"/>
    <w:rsid w:val="496F29A9"/>
    <w:rsid w:val="497A134E"/>
    <w:rsid w:val="498270B3"/>
    <w:rsid w:val="49AF724A"/>
    <w:rsid w:val="49C94F4C"/>
    <w:rsid w:val="49E406A1"/>
    <w:rsid w:val="49E87801"/>
    <w:rsid w:val="4A1264D9"/>
    <w:rsid w:val="4A275658"/>
    <w:rsid w:val="4A767D68"/>
    <w:rsid w:val="4AB908E2"/>
    <w:rsid w:val="4AD92D96"/>
    <w:rsid w:val="4AEE5B50"/>
    <w:rsid w:val="4B0D06CC"/>
    <w:rsid w:val="4B0E5EB1"/>
    <w:rsid w:val="4B0F4B96"/>
    <w:rsid w:val="4B5A1437"/>
    <w:rsid w:val="4B6865FA"/>
    <w:rsid w:val="4B6D2777"/>
    <w:rsid w:val="4B751DCD"/>
    <w:rsid w:val="4BA9548A"/>
    <w:rsid w:val="4BBB7051"/>
    <w:rsid w:val="4BE13907"/>
    <w:rsid w:val="4BFC429C"/>
    <w:rsid w:val="4C20442F"/>
    <w:rsid w:val="4C2C4B82"/>
    <w:rsid w:val="4C3549DA"/>
    <w:rsid w:val="4C3B4DC5"/>
    <w:rsid w:val="4C416153"/>
    <w:rsid w:val="4C6E069B"/>
    <w:rsid w:val="4C7E1B2B"/>
    <w:rsid w:val="4C9A12B2"/>
    <w:rsid w:val="4CAE1A3B"/>
    <w:rsid w:val="4CBC3CCA"/>
    <w:rsid w:val="4CBF7AF9"/>
    <w:rsid w:val="4CD34FFD"/>
    <w:rsid w:val="4CE03BBE"/>
    <w:rsid w:val="4CEC7C35"/>
    <w:rsid w:val="4D0C6761"/>
    <w:rsid w:val="4D1879C1"/>
    <w:rsid w:val="4D1D271C"/>
    <w:rsid w:val="4D573E80"/>
    <w:rsid w:val="4D673998"/>
    <w:rsid w:val="4D875DE8"/>
    <w:rsid w:val="4D9C5D37"/>
    <w:rsid w:val="4DB0474C"/>
    <w:rsid w:val="4DBF3025"/>
    <w:rsid w:val="4DE27BDE"/>
    <w:rsid w:val="4DE96919"/>
    <w:rsid w:val="4DF94646"/>
    <w:rsid w:val="4E08517B"/>
    <w:rsid w:val="4E231FB4"/>
    <w:rsid w:val="4E6323B1"/>
    <w:rsid w:val="4E6B6EA1"/>
    <w:rsid w:val="4E870795"/>
    <w:rsid w:val="4E8F158A"/>
    <w:rsid w:val="4EC94844"/>
    <w:rsid w:val="4ED71DB4"/>
    <w:rsid w:val="4ED9062F"/>
    <w:rsid w:val="4EF15C0F"/>
    <w:rsid w:val="4EF87BDB"/>
    <w:rsid w:val="4EF93FB4"/>
    <w:rsid w:val="4EFE0335"/>
    <w:rsid w:val="4F0040A4"/>
    <w:rsid w:val="4F02066C"/>
    <w:rsid w:val="4F28465E"/>
    <w:rsid w:val="4F284B65"/>
    <w:rsid w:val="4F3D516E"/>
    <w:rsid w:val="4F695861"/>
    <w:rsid w:val="4F766114"/>
    <w:rsid w:val="4F7F80B5"/>
    <w:rsid w:val="4F844CD5"/>
    <w:rsid w:val="4FBC446F"/>
    <w:rsid w:val="4FC61429"/>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21A36CE"/>
    <w:rsid w:val="521D51BC"/>
    <w:rsid w:val="521F3064"/>
    <w:rsid w:val="524424F9"/>
    <w:rsid w:val="525210BA"/>
    <w:rsid w:val="52B07B8F"/>
    <w:rsid w:val="52B57234"/>
    <w:rsid w:val="52D65847"/>
    <w:rsid w:val="5334495E"/>
    <w:rsid w:val="534704F3"/>
    <w:rsid w:val="53C61CCF"/>
    <w:rsid w:val="53D83AAD"/>
    <w:rsid w:val="53DA4EC3"/>
    <w:rsid w:val="53E144A4"/>
    <w:rsid w:val="53E83463"/>
    <w:rsid w:val="54106B37"/>
    <w:rsid w:val="54322F51"/>
    <w:rsid w:val="545A6004"/>
    <w:rsid w:val="545B6043"/>
    <w:rsid w:val="54DA4AA4"/>
    <w:rsid w:val="54ED0C26"/>
    <w:rsid w:val="54FA45B8"/>
    <w:rsid w:val="55012924"/>
    <w:rsid w:val="550D3076"/>
    <w:rsid w:val="552C2F40"/>
    <w:rsid w:val="55311586"/>
    <w:rsid w:val="553B4087"/>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97353F"/>
    <w:rsid w:val="56AE4E93"/>
    <w:rsid w:val="56CA7B0E"/>
    <w:rsid w:val="56ED13B1"/>
    <w:rsid w:val="56F24C1A"/>
    <w:rsid w:val="573B0F53"/>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2E180D"/>
    <w:rsid w:val="59372728"/>
    <w:rsid w:val="595924F8"/>
    <w:rsid w:val="59682F71"/>
    <w:rsid w:val="59BA391C"/>
    <w:rsid w:val="59C72FE9"/>
    <w:rsid w:val="59C75EEA"/>
    <w:rsid w:val="59CF2FF0"/>
    <w:rsid w:val="59D61BA3"/>
    <w:rsid w:val="59F3663D"/>
    <w:rsid w:val="5A0507C0"/>
    <w:rsid w:val="5A2F4C50"/>
    <w:rsid w:val="5A41353C"/>
    <w:rsid w:val="5A4A08C9"/>
    <w:rsid w:val="5A5955ED"/>
    <w:rsid w:val="5A6172E4"/>
    <w:rsid w:val="5A6951F3"/>
    <w:rsid w:val="5A7A7400"/>
    <w:rsid w:val="5ABC682F"/>
    <w:rsid w:val="5AC57E95"/>
    <w:rsid w:val="5AE9037D"/>
    <w:rsid w:val="5AEC4DDF"/>
    <w:rsid w:val="5AF35F89"/>
    <w:rsid w:val="5AFB7B6B"/>
    <w:rsid w:val="5B2555BE"/>
    <w:rsid w:val="5B801B6E"/>
    <w:rsid w:val="5BAB4156"/>
    <w:rsid w:val="5BE24B0A"/>
    <w:rsid w:val="5BE72873"/>
    <w:rsid w:val="5BEA75BF"/>
    <w:rsid w:val="5C17056B"/>
    <w:rsid w:val="5C210521"/>
    <w:rsid w:val="5C253C16"/>
    <w:rsid w:val="5C270EC2"/>
    <w:rsid w:val="5C6300BB"/>
    <w:rsid w:val="5C6F4617"/>
    <w:rsid w:val="5C9522CF"/>
    <w:rsid w:val="5C967DF5"/>
    <w:rsid w:val="5CBC1B3E"/>
    <w:rsid w:val="5CCC1072"/>
    <w:rsid w:val="5CD94447"/>
    <w:rsid w:val="5CD94967"/>
    <w:rsid w:val="5CE84AF5"/>
    <w:rsid w:val="5D127168"/>
    <w:rsid w:val="5D1F428F"/>
    <w:rsid w:val="5D506AC9"/>
    <w:rsid w:val="5D5A4ACB"/>
    <w:rsid w:val="5D647EF4"/>
    <w:rsid w:val="5D740137"/>
    <w:rsid w:val="5DB1138B"/>
    <w:rsid w:val="5DB81DEE"/>
    <w:rsid w:val="5DDB01B6"/>
    <w:rsid w:val="5E102EB2"/>
    <w:rsid w:val="5E251431"/>
    <w:rsid w:val="5E2558D5"/>
    <w:rsid w:val="5E375EEE"/>
    <w:rsid w:val="5E4778D9"/>
    <w:rsid w:val="5E59557E"/>
    <w:rsid w:val="5E895323"/>
    <w:rsid w:val="5ED01F0B"/>
    <w:rsid w:val="5F0E3129"/>
    <w:rsid w:val="5F1576F7"/>
    <w:rsid w:val="5F3FF7D2"/>
    <w:rsid w:val="5F4916B0"/>
    <w:rsid w:val="5F5875E4"/>
    <w:rsid w:val="5F593296"/>
    <w:rsid w:val="5F5A217E"/>
    <w:rsid w:val="5F5C70D4"/>
    <w:rsid w:val="5F6364B1"/>
    <w:rsid w:val="5F7A1C50"/>
    <w:rsid w:val="5F8927B9"/>
    <w:rsid w:val="5F8B5C0B"/>
    <w:rsid w:val="5FCC6C5E"/>
    <w:rsid w:val="5FDF0776"/>
    <w:rsid w:val="5FE62E42"/>
    <w:rsid w:val="600B4656"/>
    <w:rsid w:val="60397415"/>
    <w:rsid w:val="603B4F3C"/>
    <w:rsid w:val="60536729"/>
    <w:rsid w:val="60AA20C1"/>
    <w:rsid w:val="60B3541A"/>
    <w:rsid w:val="60C73997"/>
    <w:rsid w:val="60CE7B5E"/>
    <w:rsid w:val="6105554A"/>
    <w:rsid w:val="611415FC"/>
    <w:rsid w:val="61243C22"/>
    <w:rsid w:val="614147D4"/>
    <w:rsid w:val="614E6EF1"/>
    <w:rsid w:val="615C160D"/>
    <w:rsid w:val="61A30FEA"/>
    <w:rsid w:val="61B52BB6"/>
    <w:rsid w:val="61BF394A"/>
    <w:rsid w:val="61C243C9"/>
    <w:rsid w:val="61D07906"/>
    <w:rsid w:val="61DC62AA"/>
    <w:rsid w:val="61EE2A3A"/>
    <w:rsid w:val="61F94CAB"/>
    <w:rsid w:val="620B4DE2"/>
    <w:rsid w:val="62175534"/>
    <w:rsid w:val="62375BD7"/>
    <w:rsid w:val="62742987"/>
    <w:rsid w:val="6285516C"/>
    <w:rsid w:val="62AE40EB"/>
    <w:rsid w:val="62B808FB"/>
    <w:rsid w:val="62CA25A7"/>
    <w:rsid w:val="62CD0900"/>
    <w:rsid w:val="62FB09B2"/>
    <w:rsid w:val="630755A9"/>
    <w:rsid w:val="63100901"/>
    <w:rsid w:val="63117978"/>
    <w:rsid w:val="63236614"/>
    <w:rsid w:val="632919C3"/>
    <w:rsid w:val="6331293E"/>
    <w:rsid w:val="63333EB7"/>
    <w:rsid w:val="63365E8E"/>
    <w:rsid w:val="63414F5F"/>
    <w:rsid w:val="63436839"/>
    <w:rsid w:val="63506F50"/>
    <w:rsid w:val="6356208C"/>
    <w:rsid w:val="63691DC0"/>
    <w:rsid w:val="638906B4"/>
    <w:rsid w:val="638E5CCA"/>
    <w:rsid w:val="63A92B04"/>
    <w:rsid w:val="63AE3C76"/>
    <w:rsid w:val="63FB2F12"/>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442F1"/>
    <w:rsid w:val="65E25469"/>
    <w:rsid w:val="65ED4F2A"/>
    <w:rsid w:val="662B7800"/>
    <w:rsid w:val="663452B0"/>
    <w:rsid w:val="663F32AC"/>
    <w:rsid w:val="664675B7"/>
    <w:rsid w:val="664803B2"/>
    <w:rsid w:val="664F5A97"/>
    <w:rsid w:val="666304CC"/>
    <w:rsid w:val="66754F1F"/>
    <w:rsid w:val="6698278F"/>
    <w:rsid w:val="669B23CD"/>
    <w:rsid w:val="66A7157D"/>
    <w:rsid w:val="66B15F58"/>
    <w:rsid w:val="66BC48FC"/>
    <w:rsid w:val="66F45E44"/>
    <w:rsid w:val="670A5668"/>
    <w:rsid w:val="67110DC2"/>
    <w:rsid w:val="671E1113"/>
    <w:rsid w:val="6740552D"/>
    <w:rsid w:val="675C250A"/>
    <w:rsid w:val="67A37521"/>
    <w:rsid w:val="67B6134C"/>
    <w:rsid w:val="67BC2E06"/>
    <w:rsid w:val="67BF615D"/>
    <w:rsid w:val="67D27562"/>
    <w:rsid w:val="68022682"/>
    <w:rsid w:val="680B4BB0"/>
    <w:rsid w:val="68152516"/>
    <w:rsid w:val="68246ED4"/>
    <w:rsid w:val="683647B6"/>
    <w:rsid w:val="68752FB5"/>
    <w:rsid w:val="68831B76"/>
    <w:rsid w:val="68C0149A"/>
    <w:rsid w:val="69020CEC"/>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CB7ABB"/>
    <w:rsid w:val="6BCF6E80"/>
    <w:rsid w:val="6C0515A8"/>
    <w:rsid w:val="6C152AE5"/>
    <w:rsid w:val="6C1F1BB5"/>
    <w:rsid w:val="6C30660C"/>
    <w:rsid w:val="6C510171"/>
    <w:rsid w:val="6C5555D7"/>
    <w:rsid w:val="6C5E5AB6"/>
    <w:rsid w:val="6C627CF4"/>
    <w:rsid w:val="6C9B1499"/>
    <w:rsid w:val="6CBE13CE"/>
    <w:rsid w:val="6CC46057"/>
    <w:rsid w:val="6CD00B93"/>
    <w:rsid w:val="6CD04C5E"/>
    <w:rsid w:val="6CF43042"/>
    <w:rsid w:val="6D0B5229"/>
    <w:rsid w:val="6D0E4172"/>
    <w:rsid w:val="6D2356D5"/>
    <w:rsid w:val="6D294988"/>
    <w:rsid w:val="6D3B4F62"/>
    <w:rsid w:val="6D447721"/>
    <w:rsid w:val="6D546402"/>
    <w:rsid w:val="6D605FE2"/>
    <w:rsid w:val="6D716441"/>
    <w:rsid w:val="6D77157D"/>
    <w:rsid w:val="6D944019"/>
    <w:rsid w:val="6DB14A8F"/>
    <w:rsid w:val="6DB1683D"/>
    <w:rsid w:val="6DDE4FBC"/>
    <w:rsid w:val="6DE2733E"/>
    <w:rsid w:val="6DE45B61"/>
    <w:rsid w:val="6E0F17B6"/>
    <w:rsid w:val="6E324CE1"/>
    <w:rsid w:val="6E491A2F"/>
    <w:rsid w:val="6E535698"/>
    <w:rsid w:val="6E8F0134"/>
    <w:rsid w:val="6EC033A1"/>
    <w:rsid w:val="6ED742C8"/>
    <w:rsid w:val="6F0626E6"/>
    <w:rsid w:val="6F165D50"/>
    <w:rsid w:val="6F1A6664"/>
    <w:rsid w:val="6F29122F"/>
    <w:rsid w:val="6F5222A2"/>
    <w:rsid w:val="6F59718C"/>
    <w:rsid w:val="6F857F81"/>
    <w:rsid w:val="6F9219A4"/>
    <w:rsid w:val="6FA32AFD"/>
    <w:rsid w:val="6FD131C7"/>
    <w:rsid w:val="6FE4258E"/>
    <w:rsid w:val="6FF46EB5"/>
    <w:rsid w:val="7016394C"/>
    <w:rsid w:val="701B0AEA"/>
    <w:rsid w:val="70311EB7"/>
    <w:rsid w:val="70635C4B"/>
    <w:rsid w:val="70862203"/>
    <w:rsid w:val="708A15C7"/>
    <w:rsid w:val="709D12FB"/>
    <w:rsid w:val="70CE7706"/>
    <w:rsid w:val="70E76A1A"/>
    <w:rsid w:val="70EC5DDE"/>
    <w:rsid w:val="70F83021"/>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9329B"/>
    <w:rsid w:val="72CC236B"/>
    <w:rsid w:val="72D1172F"/>
    <w:rsid w:val="72D74FAB"/>
    <w:rsid w:val="72D76045"/>
    <w:rsid w:val="72E65772"/>
    <w:rsid w:val="72F928D5"/>
    <w:rsid w:val="72FD2525"/>
    <w:rsid w:val="73332CBC"/>
    <w:rsid w:val="7344546D"/>
    <w:rsid w:val="73497518"/>
    <w:rsid w:val="734D525A"/>
    <w:rsid w:val="7366709D"/>
    <w:rsid w:val="736D3206"/>
    <w:rsid w:val="736F4F30"/>
    <w:rsid w:val="7392667F"/>
    <w:rsid w:val="739C37AB"/>
    <w:rsid w:val="73A56E44"/>
    <w:rsid w:val="73AD5CF9"/>
    <w:rsid w:val="73B13A3B"/>
    <w:rsid w:val="73B87A30"/>
    <w:rsid w:val="73BF0CB3"/>
    <w:rsid w:val="73CA4C19"/>
    <w:rsid w:val="73F12089"/>
    <w:rsid w:val="73FB6A64"/>
    <w:rsid w:val="74065015"/>
    <w:rsid w:val="74194A6B"/>
    <w:rsid w:val="7422193C"/>
    <w:rsid w:val="74257F85"/>
    <w:rsid w:val="742F670E"/>
    <w:rsid w:val="74315AC9"/>
    <w:rsid w:val="743300AB"/>
    <w:rsid w:val="74424693"/>
    <w:rsid w:val="74440B1B"/>
    <w:rsid w:val="74C26E48"/>
    <w:rsid w:val="750477ED"/>
    <w:rsid w:val="752A613E"/>
    <w:rsid w:val="75330480"/>
    <w:rsid w:val="754E350B"/>
    <w:rsid w:val="75671ED7"/>
    <w:rsid w:val="757840E4"/>
    <w:rsid w:val="75BA690B"/>
    <w:rsid w:val="7621652A"/>
    <w:rsid w:val="76320737"/>
    <w:rsid w:val="764346F2"/>
    <w:rsid w:val="76571277"/>
    <w:rsid w:val="766B0EFF"/>
    <w:rsid w:val="766D5162"/>
    <w:rsid w:val="769E2278"/>
    <w:rsid w:val="76A2761C"/>
    <w:rsid w:val="76A54F94"/>
    <w:rsid w:val="76C63CAF"/>
    <w:rsid w:val="76DE441B"/>
    <w:rsid w:val="76FE0619"/>
    <w:rsid w:val="770C6B46"/>
    <w:rsid w:val="772462D2"/>
    <w:rsid w:val="77514BED"/>
    <w:rsid w:val="77562674"/>
    <w:rsid w:val="77B5517C"/>
    <w:rsid w:val="77B87AD6"/>
    <w:rsid w:val="77BC29AE"/>
    <w:rsid w:val="77D73344"/>
    <w:rsid w:val="77EB6DF0"/>
    <w:rsid w:val="77F3025C"/>
    <w:rsid w:val="77FF07FF"/>
    <w:rsid w:val="78144598"/>
    <w:rsid w:val="78205781"/>
    <w:rsid w:val="786B1CDE"/>
    <w:rsid w:val="78745037"/>
    <w:rsid w:val="789F0C53"/>
    <w:rsid w:val="78A70F68"/>
    <w:rsid w:val="78BE1519"/>
    <w:rsid w:val="78D06B47"/>
    <w:rsid w:val="78DB5DFD"/>
    <w:rsid w:val="78E41F7C"/>
    <w:rsid w:val="78F817C4"/>
    <w:rsid w:val="790C34C1"/>
    <w:rsid w:val="793B7903"/>
    <w:rsid w:val="7950097F"/>
    <w:rsid w:val="798A1AD3"/>
    <w:rsid w:val="799A775C"/>
    <w:rsid w:val="79B646C7"/>
    <w:rsid w:val="79C107B1"/>
    <w:rsid w:val="79C618C2"/>
    <w:rsid w:val="79DF4732"/>
    <w:rsid w:val="7A1F1F5A"/>
    <w:rsid w:val="7A3005B1"/>
    <w:rsid w:val="7A3A0597"/>
    <w:rsid w:val="7A5073DE"/>
    <w:rsid w:val="7A5E5F9F"/>
    <w:rsid w:val="7A927198"/>
    <w:rsid w:val="7AC7547F"/>
    <w:rsid w:val="7AF83CFD"/>
    <w:rsid w:val="7B114DBF"/>
    <w:rsid w:val="7B31720F"/>
    <w:rsid w:val="7B4927AB"/>
    <w:rsid w:val="7B657452"/>
    <w:rsid w:val="7B684125"/>
    <w:rsid w:val="7B70785B"/>
    <w:rsid w:val="7B75534E"/>
    <w:rsid w:val="7B8A4C7B"/>
    <w:rsid w:val="7B910F06"/>
    <w:rsid w:val="7BC42654"/>
    <w:rsid w:val="7BCB7664"/>
    <w:rsid w:val="7BD323FA"/>
    <w:rsid w:val="7BD61B65"/>
    <w:rsid w:val="7BE14907"/>
    <w:rsid w:val="7BF5023D"/>
    <w:rsid w:val="7C1D7794"/>
    <w:rsid w:val="7C330D65"/>
    <w:rsid w:val="7C506DEC"/>
    <w:rsid w:val="7C52743D"/>
    <w:rsid w:val="7C5644E1"/>
    <w:rsid w:val="7C734B01"/>
    <w:rsid w:val="7C864969"/>
    <w:rsid w:val="7C9673F2"/>
    <w:rsid w:val="7CA43D7A"/>
    <w:rsid w:val="7CAD4FBB"/>
    <w:rsid w:val="7CDE5175"/>
    <w:rsid w:val="7CF8248D"/>
    <w:rsid w:val="7D04348A"/>
    <w:rsid w:val="7D67262D"/>
    <w:rsid w:val="7D697134"/>
    <w:rsid w:val="7DAE7CF4"/>
    <w:rsid w:val="7DB72C94"/>
    <w:rsid w:val="7DBA7990"/>
    <w:rsid w:val="7DC205F3"/>
    <w:rsid w:val="7DCE69B8"/>
    <w:rsid w:val="7E112F5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796E7A"/>
    <w:rsid w:val="7F7D2A23"/>
    <w:rsid w:val="7F7D4E4C"/>
    <w:rsid w:val="7F820039"/>
    <w:rsid w:val="7F990678"/>
    <w:rsid w:val="7F9B692B"/>
    <w:rsid w:val="7FA9780B"/>
    <w:rsid w:val="7FFFB828"/>
    <w:rsid w:val="97FC4708"/>
    <w:rsid w:val="9BFFFCDD"/>
    <w:rsid w:val="ADFF6ABA"/>
    <w:rsid w:val="B59D647C"/>
    <w:rsid w:val="B7D3B9AC"/>
    <w:rsid w:val="B8FFA6BE"/>
    <w:rsid w:val="BEFF3380"/>
    <w:rsid w:val="CB7E2C23"/>
    <w:rsid w:val="DBD5D3CB"/>
    <w:rsid w:val="DC9E6C2D"/>
    <w:rsid w:val="DDDD9C44"/>
    <w:rsid w:val="DFFFEB05"/>
    <w:rsid w:val="E5DFB357"/>
    <w:rsid w:val="FDF90F1C"/>
    <w:rsid w:val="FF775451"/>
    <w:rsid w:val="FFBBC05E"/>
    <w:rsid w:val="FFDCD7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style>
  <w:style w:type="paragraph" w:styleId="13">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100" w:beforeAutospacing="1" w:after="100" w:afterAutospacing="1"/>
    </w:pPr>
    <w:rPr>
      <w:rFonts w:ascii="宋体" w:hAnsi="宋体" w:cs="宋体"/>
      <w:sz w:val="24"/>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character" w:styleId="20">
    <w:name w:val="annotation reference"/>
    <w:basedOn w:val="18"/>
    <w:autoRedefine/>
    <w:qFormat/>
    <w:uiPriority w:val="0"/>
    <w:rPr>
      <w:sz w:val="21"/>
      <w:szCs w:val="21"/>
    </w:rPr>
  </w:style>
  <w:style w:type="paragraph" w:customStyle="1" w:styleId="21">
    <w:name w:val="Char Char1 Char Char1 Char Char Char Char Char Char"/>
    <w:basedOn w:val="1"/>
    <w:autoRedefine/>
    <w:qFormat/>
    <w:uiPriority w:val="0"/>
    <w:pPr>
      <w:widowControl/>
      <w:spacing w:after="160" w:line="240" w:lineRule="exact"/>
      <w:jc w:val="left"/>
    </w:pPr>
    <w:rPr>
      <w:szCs w:val="20"/>
    </w:rPr>
  </w:style>
  <w:style w:type="paragraph" w:customStyle="1" w:styleId="22">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Arial" w:hAnsi="Arial" w:eastAsia="Arial" w:cs="Arial"/>
      <w:szCs w:val="21"/>
      <w:lang w:eastAsia="en-US"/>
    </w:rPr>
  </w:style>
  <w:style w:type="paragraph" w:customStyle="1" w:styleId="25">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6">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7">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8">
    <w:name w:val="WPSOffice手动目录 3"/>
    <w:autoRedefine/>
    <w:qFormat/>
    <w:uiPriority w:val="0"/>
    <w:pPr>
      <w:ind w:left="400" w:leftChars="400"/>
    </w:pPr>
    <w:rPr>
      <w:rFonts w:ascii="Arial" w:hAnsi="Arial" w:eastAsia="Arial" w:cs="Arial"/>
      <w:lang w:val="en-US" w:eastAsia="zh-CN" w:bidi="ar-SA"/>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 w:type="paragraph" w:customStyle="1" w:styleId="31">
    <w:name w:val="Table Paragraph"/>
    <w:basedOn w:val="1"/>
    <w:autoRedefine/>
    <w:qFormat/>
    <w:uiPriority w:val="1"/>
    <w:pPr>
      <w:autoSpaceDE w:val="0"/>
      <w:autoSpaceDN w:val="0"/>
      <w:jc w:val="left"/>
    </w:pPr>
    <w:rPr>
      <w:rFonts w:ascii="宋体" w:hAnsi="宋体" w:eastAsia="宋体" w:cs="宋体"/>
      <w:kern w:val="0"/>
      <w:sz w:val="22"/>
      <w:lang w:val="zh-CN" w:bidi="zh-CN"/>
    </w:rPr>
  </w:style>
  <w:style w:type="paragraph" w:customStyle="1" w:styleId="32">
    <w:name w:val="样式5"/>
    <w:basedOn w:val="1"/>
    <w:autoRedefine/>
    <w:qFormat/>
    <w:uiPriority w:val="0"/>
    <w:pPr>
      <w:adjustRightInd w:val="0"/>
      <w:snapToGrid w:val="0"/>
      <w:spacing w:line="310" w:lineRule="atLeast"/>
      <w:ind w:firstLine="425"/>
    </w:pPr>
    <w:rPr>
      <w:rFonts w:ascii="Arial" w:hAnsi="Arial" w:eastAsia="黑体"/>
      <w:szCs w:val="20"/>
    </w:rPr>
  </w:style>
  <w:style w:type="paragraph" w:customStyle="1" w:styleId="33">
    <w:name w:val="样式 小四 行距: 1.5 倍行距"/>
    <w:basedOn w:val="1"/>
    <w:autoRedefine/>
    <w:qFormat/>
    <w:uiPriority w:val="0"/>
    <w:pPr>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mp\webword_628118791\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118</Pages>
  <Words>59850</Words>
  <Characters>61170</Characters>
  <Lines>171</Lines>
  <Paragraphs>48</Paragraphs>
  <TotalTime>9</TotalTime>
  <ScaleCrop>false</ScaleCrop>
  <LinksUpToDate>false</LinksUpToDate>
  <CharactersWithSpaces>61898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2023-08-29T08:31:00Z</dcterms:created>
  <dc:creator>文印1</dc:creator>
  <cp:lastModifiedBy>肖丙凯</cp:lastModifiedBy>
  <cp:lastPrinted>2023-09-04T10:29:00Z</cp:lastPrinted>
  <dcterms:modified xsi:type="dcterms:W3CDTF">2024-03-22T07:14:46Z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984065D2B1994BF680A08825C82CE60F_13</vt:lpwstr>
  </property>
</Properties>
</file>