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r>
        <w:drawing>
          <wp:anchor distT="0" distB="0" distL="114300" distR="114300" simplePos="0" relativeHeight="251703296"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rcRect l="17877" t="15726" r="28413" b="74259"/>
                    <a:stretch>
                      <a:fillRect/>
                    </a:stretch>
                  </pic:blipFill>
                  <pic:spPr>
                    <a:xfrm>
                      <a:off x="0" y="0"/>
                      <a:ext cx="5124450" cy="800735"/>
                    </a:xfrm>
                    <a:prstGeom prst="rect">
                      <a:avLst/>
                    </a:prstGeom>
                    <a:noFill/>
                    <a:ln>
                      <a:noFill/>
                    </a:ln>
                  </pic:spPr>
                </pic:pic>
              </a:graphicData>
            </a:graphic>
          </wp:anchor>
        </w:drawing>
      </w:r>
    </w:p>
    <w:p/>
    <w:p/>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物理服务与管理</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参编人员有谭清化、孙宁、赵文君、高华、于红霞、宋协静、王博、蔡爱芹等，在此表示感谢。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sdt>
      <w:sdtPr>
        <w:rPr>
          <w:rFonts w:hint="eastAsia" w:ascii="仿宋_GB2312" w:hAnsi="仿宋_GB2312" w:eastAsia="仿宋_GB2312" w:cs="仿宋_GB2312"/>
          <w:sz w:val="28"/>
          <w:szCs w:val="28"/>
        </w:rPr>
        <w:id w:val="1"/>
        <w:docPartObj>
          <w:docPartGallery w:val="Table of Contents"/>
          <w:docPartUnique/>
        </w:docPartObj>
      </w:sdtPr>
      <w:sdtEndPr>
        <w:rPr>
          <w:rFonts w:hint="eastAsia" w:ascii="仿宋_GB2312" w:hAnsi="仿宋_GB2312" w:eastAsia="仿宋_GB2312" w:cs="仿宋_GB2312"/>
          <w:sz w:val="18"/>
          <w:szCs w:val="18"/>
        </w:rPr>
      </w:sdtEndPr>
      <w:sdtContent>
        <w:p>
          <w:pPr>
            <w:keepNext w:val="0"/>
            <w:keepLines w:val="0"/>
            <w:pageBreakBefore w:val="0"/>
            <w:widowControl w:val="0"/>
            <w:kinsoku/>
            <w:wordWrap/>
            <w:overflowPunct/>
            <w:topLinePunct w:val="0"/>
            <w:autoSpaceDE/>
            <w:autoSpaceDN/>
            <w:bidi w:val="0"/>
            <w:adjustRightInd/>
            <w:snapToGrid/>
            <w:spacing w:after="219" w:afterLines="50" w:line="560" w:lineRule="exact"/>
            <w:jc w:val="center"/>
            <w:textAlignment w:val="auto"/>
            <w:rPr>
              <w:rFonts w:ascii="仿宋_GB2312" w:hAnsi="仿宋_GB2312" w:eastAsia="仿宋_GB2312" w:cs="仿宋_GB2312"/>
              <w:b/>
              <w:bCs/>
              <w:spacing w:val="-43"/>
              <w:sz w:val="28"/>
              <w:szCs w:val="28"/>
            </w:rPr>
          </w:pPr>
          <w:bookmarkStart w:id="0" w:name="bookmark1"/>
          <w:bookmarkEnd w:id="0"/>
          <w:r>
            <w:rPr>
              <w:rFonts w:hint="eastAsia" w:ascii="仿宋_GB2312" w:hAnsi="仿宋_GB2312" w:eastAsia="仿宋_GB2312" w:cs="仿宋_GB2312"/>
              <w:b/>
              <w:bCs/>
              <w:spacing w:val="-43"/>
              <w:sz w:val="32"/>
              <w:szCs w:val="32"/>
            </w:rPr>
            <w:t xml:space="preserve">目 </w:t>
          </w:r>
          <w:r>
            <w:rPr>
              <w:rFonts w:ascii="仿宋_GB2312" w:hAnsi="仿宋_GB2312" w:eastAsia="仿宋_GB2312" w:cs="仿宋_GB2312"/>
              <w:b/>
              <w:bCs/>
              <w:spacing w:val="-43"/>
              <w:sz w:val="32"/>
              <w:szCs w:val="32"/>
            </w:rPr>
            <w:t xml:space="preserve">    </w:t>
          </w:r>
          <w:r>
            <w:rPr>
              <w:rFonts w:hint="eastAsia" w:ascii="仿宋_GB2312" w:hAnsi="仿宋_GB2312" w:eastAsia="仿宋_GB2312" w:cs="仿宋_GB2312"/>
              <w:b/>
              <w:bCs/>
              <w:spacing w:val="-43"/>
              <w:sz w:val="32"/>
              <w:szCs w:val="32"/>
            </w:rPr>
            <w:t>录</w:t>
          </w:r>
        </w:p>
        <w:p>
          <w:pPr>
            <w:keepNext w:val="0"/>
            <w:keepLines w:val="0"/>
            <w:pageBreakBefore w:val="0"/>
            <w:widowControl w:val="0"/>
            <w:tabs>
              <w:tab w:val="right" w:leader="dot" w:pos="8312"/>
            </w:tabs>
            <w:kinsoku/>
            <w:wordWrap/>
            <w:overflowPunct/>
            <w:topLinePunct w:val="0"/>
            <w:autoSpaceDE/>
            <w:autoSpaceDN/>
            <w:bidi w:val="0"/>
            <w:adjustRightInd/>
            <w:snapToGrid/>
            <w:spacing w:line="560" w:lineRule="exact"/>
            <w:ind w:firstLine="615" w:firstLineChars="250"/>
            <w:jc w:val="center"/>
            <w:textAlignment w:val="auto"/>
            <w:rPr>
              <w:rFonts w:ascii="仿宋_GB2312" w:hAnsi="仿宋_GB2312" w:eastAsia="仿宋_GB2312" w:cs="仿宋_GB2312"/>
              <w:sz w:val="28"/>
              <w:szCs w:val="28"/>
            </w:rPr>
          </w:pPr>
          <w:r>
            <w:rPr>
              <w:rFonts w:hint="eastAsia" w:ascii="仿宋_GB2312" w:hAnsi="仿宋_GB2312" w:eastAsia="仿宋_GB2312" w:cs="仿宋_GB2312"/>
              <w:spacing w:val="-17"/>
              <w:sz w:val="28"/>
              <w:szCs w:val="28"/>
            </w:rPr>
            <w:t>一、专业名称及代码</w:t>
          </w:r>
          <w:r>
            <w:rPr>
              <w:rFonts w:hint="eastAsia" w:ascii="仿宋_GB2312" w:hAnsi="仿宋_GB2312" w:eastAsia="仿宋_GB2312" w:cs="仿宋_GB2312"/>
              <w:spacing w:val="-88"/>
              <w:sz w:val="28"/>
              <w:szCs w:val="28"/>
            </w:rPr>
            <w:t xml:space="preserve"> </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jc w:val="center"/>
            <w:textAlignment w:val="auto"/>
            <w:rPr>
              <w:rFonts w:ascii="仿宋_GB2312" w:hAnsi="仿宋_GB2312" w:eastAsia="仿宋_GB2312" w:cs="仿宋_GB2312"/>
              <w:spacing w:val="3"/>
              <w:sz w:val="28"/>
              <w:szCs w:val="28"/>
            </w:rPr>
          </w:pPr>
          <w:r>
            <w:rPr>
              <w:rFonts w:hint="eastAsia" w:ascii="仿宋_GB2312" w:hAnsi="仿宋_GB2312" w:eastAsia="仿宋_GB2312" w:cs="仿宋_GB2312"/>
              <w:spacing w:val="12"/>
              <w:sz w:val="28"/>
              <w:szCs w:val="28"/>
            </w:rPr>
            <w:t>二、入学要求</w:t>
          </w:r>
          <w:r>
            <w:rPr>
              <w:rFonts w:hint="eastAsia" w:ascii="仿宋_GB2312" w:hAnsi="仿宋_GB2312" w:eastAsia="仿宋_GB2312" w:cs="仿宋_GB2312"/>
              <w:spacing w:val="-80"/>
              <w:sz w:val="28"/>
              <w:szCs w:val="28"/>
            </w:rPr>
            <w:t xml:space="preserve"> </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15" w:firstLineChars="250"/>
            <w:jc w:val="center"/>
            <w:textAlignment w:val="auto"/>
            <w:rPr>
              <w:rFonts w:ascii="仿宋_GB2312" w:hAnsi="仿宋_GB2312" w:eastAsia="仿宋_GB2312" w:cs="仿宋_GB2312"/>
              <w:spacing w:val="3"/>
              <w:sz w:val="28"/>
              <w:szCs w:val="28"/>
            </w:rPr>
          </w:pPr>
          <w:r>
            <w:rPr>
              <w:rFonts w:hint="eastAsia" w:ascii="仿宋_GB2312" w:hAnsi="仿宋_GB2312" w:eastAsia="仿宋_GB2312" w:cs="仿宋_GB2312"/>
              <w:spacing w:val="-17"/>
              <w:sz w:val="28"/>
              <w:szCs w:val="28"/>
            </w:rPr>
            <w:t>三</w:t>
          </w:r>
          <w:r>
            <w:rPr>
              <w:rFonts w:hint="eastAsia" w:ascii="仿宋_GB2312" w:hAnsi="仿宋_GB2312" w:eastAsia="仿宋_GB2312" w:cs="仿宋_GB2312"/>
              <w:spacing w:val="12"/>
              <w:sz w:val="28"/>
              <w:szCs w:val="28"/>
            </w:rPr>
            <w:t>、修业年限</w:t>
          </w:r>
          <w:r>
            <w:rPr>
              <w:rFonts w:hint="eastAsia" w:ascii="仿宋_GB2312" w:hAnsi="仿宋_GB2312" w:eastAsia="仿宋_GB2312" w:cs="仿宋_GB2312"/>
              <w:spacing w:val="-80"/>
              <w:sz w:val="28"/>
              <w:szCs w:val="28"/>
            </w:rPr>
            <w:t xml:space="preserve"> </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jc w:val="center"/>
            <w:textAlignment w:val="auto"/>
            <w:rPr>
              <w:rFonts w:ascii="仿宋_GB2312" w:hAnsi="仿宋_GB2312" w:eastAsia="仿宋_GB2312" w:cs="仿宋_GB2312"/>
              <w:spacing w:val="3"/>
              <w:sz w:val="28"/>
              <w:szCs w:val="28"/>
            </w:rPr>
          </w:pPr>
          <w:r>
            <w:rPr>
              <w:rFonts w:hint="eastAsia" w:ascii="仿宋_GB2312" w:hAnsi="仿宋_GB2312" w:eastAsia="仿宋_GB2312" w:cs="仿宋_GB2312"/>
              <w:spacing w:val="12"/>
              <w:sz w:val="28"/>
              <w:szCs w:val="28"/>
            </w:rPr>
            <w:t>四、职业面向</w:t>
          </w:r>
          <w:r>
            <w:rPr>
              <w:rFonts w:hint="eastAsia" w:ascii="仿宋_GB2312" w:hAnsi="仿宋_GB2312" w:eastAsia="仿宋_GB2312" w:cs="仿宋_GB2312"/>
              <w:spacing w:val="-80"/>
              <w:sz w:val="28"/>
              <w:szCs w:val="28"/>
            </w:rPr>
            <w:t xml:space="preserve"> </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jc w:val="center"/>
            <w:textAlignment w:val="auto"/>
            <w:rPr>
              <w:rFonts w:ascii="仿宋_GB2312" w:hAnsi="仿宋_GB2312" w:eastAsia="仿宋_GB2312" w:cs="仿宋_GB2312"/>
              <w:spacing w:val="3"/>
              <w:sz w:val="28"/>
              <w:szCs w:val="28"/>
            </w:rPr>
          </w:pPr>
          <w:r>
            <w:rPr>
              <w:rFonts w:hint="eastAsia" w:ascii="仿宋_GB2312" w:hAnsi="仿宋_GB2312" w:eastAsia="仿宋_GB2312" w:cs="仿宋_GB2312"/>
              <w:spacing w:val="12"/>
              <w:sz w:val="28"/>
              <w:szCs w:val="28"/>
            </w:rPr>
            <w:t>五、接续专业</w:t>
          </w:r>
          <w:r>
            <w:rPr>
              <w:rFonts w:hint="eastAsia" w:ascii="仿宋_GB2312" w:hAnsi="仿宋_GB2312" w:eastAsia="仿宋_GB2312" w:cs="仿宋_GB2312"/>
              <w:spacing w:val="-80"/>
              <w:sz w:val="28"/>
              <w:szCs w:val="28"/>
            </w:rPr>
            <w:t xml:space="preserve"> </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jc w:val="center"/>
            <w:textAlignment w:val="auto"/>
            <w:rPr>
              <w:rFonts w:ascii="仿宋_GB2312" w:hAnsi="仿宋_GB2312" w:eastAsia="仿宋_GB2312" w:cs="仿宋_GB2312"/>
              <w:spacing w:val="3"/>
              <w:sz w:val="28"/>
              <w:szCs w:val="28"/>
            </w:rPr>
          </w:pPr>
          <w:r>
            <w:rPr>
              <w:rFonts w:hint="eastAsia" w:ascii="仿宋_GB2312" w:hAnsi="仿宋_GB2312" w:eastAsia="仿宋_GB2312" w:cs="仿宋_GB2312"/>
              <w:spacing w:val="12"/>
              <w:sz w:val="28"/>
              <w:szCs w:val="28"/>
            </w:rPr>
            <w:t>六、培养目标与培养规格</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2</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576" w:firstLineChars="200"/>
            <w:jc w:val="center"/>
            <w:textAlignment w:val="auto"/>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lang w:val="en-US" w:eastAsia="zh-CN"/>
            </w:rPr>
            <w:t xml:space="preserve">  </w:t>
          </w:r>
          <w:r>
            <w:rPr>
              <w:rFonts w:hint="eastAsia" w:ascii="仿宋_GB2312" w:hAnsi="仿宋_GB2312" w:eastAsia="仿宋_GB2312" w:cs="仿宋_GB2312"/>
              <w:spacing w:val="4"/>
              <w:sz w:val="28"/>
              <w:szCs w:val="28"/>
            </w:rPr>
            <w:t xml:space="preserve">（一）培养目标 </w:t>
          </w:r>
          <w:r>
            <w:rPr>
              <w:rFonts w:hint="eastAsia" w:ascii="仿宋_GB2312" w:hAnsi="仿宋_GB2312" w:eastAsia="仿宋_GB2312" w:cs="仿宋_GB2312"/>
              <w:spacing w:val="4"/>
              <w:sz w:val="28"/>
              <w:szCs w:val="28"/>
            </w:rPr>
            <w:tab/>
          </w:r>
          <w:r>
            <w:rPr>
              <w:rFonts w:hint="eastAsia" w:ascii="仿宋_GB2312" w:hAnsi="仿宋_GB2312" w:eastAsia="仿宋_GB2312" w:cs="仿宋_GB2312"/>
              <w:spacing w:val="4"/>
              <w:sz w:val="28"/>
              <w:szCs w:val="28"/>
            </w:rPr>
            <w:t xml:space="preserve"> </w:t>
          </w:r>
          <w:r>
            <w:fldChar w:fldCharType="begin"/>
          </w:r>
          <w:r>
            <w:instrText xml:space="preserve"> HYPERLINK \l "bookmark1" </w:instrText>
          </w:r>
          <w:r>
            <w:fldChar w:fldCharType="separate"/>
          </w:r>
          <w:r>
            <w:rPr>
              <w:rFonts w:hint="eastAsia" w:ascii="仿宋_GB2312" w:hAnsi="仿宋_GB2312" w:eastAsia="仿宋_GB2312" w:cs="仿宋_GB2312"/>
              <w:spacing w:val="4"/>
              <w:sz w:val="28"/>
              <w:szCs w:val="28"/>
            </w:rPr>
            <w:t>2</w:t>
          </w:r>
          <w:r>
            <w:rPr>
              <w:rFonts w:hint="eastAsia" w:ascii="仿宋_GB2312" w:hAnsi="仿宋_GB2312" w:eastAsia="仿宋_GB2312" w:cs="仿宋_GB2312"/>
              <w:spacing w:val="4"/>
              <w:sz w:val="28"/>
              <w:szCs w:val="28"/>
            </w:rPr>
            <w:fldChar w:fldCharType="end"/>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576" w:firstLineChars="200"/>
            <w:jc w:val="center"/>
            <w:textAlignment w:val="auto"/>
            <w:rPr>
              <w:rFonts w:ascii="仿宋_GB2312" w:hAnsi="仿宋_GB2312" w:eastAsia="仿宋_GB2312" w:cs="仿宋_GB2312"/>
              <w:sz w:val="28"/>
              <w:szCs w:val="28"/>
            </w:rPr>
          </w:pPr>
          <w:r>
            <w:rPr>
              <w:rFonts w:hint="eastAsia" w:ascii="仿宋_GB2312" w:hAnsi="仿宋_GB2312" w:eastAsia="仿宋_GB2312" w:cs="仿宋_GB2312"/>
              <w:spacing w:val="4"/>
              <w:sz w:val="28"/>
              <w:szCs w:val="28"/>
              <w:lang w:val="en-US" w:eastAsia="zh-CN"/>
            </w:rPr>
            <w:t xml:space="preserve">  </w:t>
          </w:r>
          <w:r>
            <w:rPr>
              <w:rFonts w:hint="eastAsia" w:ascii="仿宋_GB2312" w:hAnsi="仿宋_GB2312" w:eastAsia="仿宋_GB2312" w:cs="仿宋_GB2312"/>
              <w:spacing w:val="4"/>
              <w:sz w:val="28"/>
              <w:szCs w:val="28"/>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pacing w:val="-52"/>
              <w:sz w:val="28"/>
              <w:szCs w:val="28"/>
            </w:rPr>
            <w:t xml:space="preserve"> </w:t>
          </w:r>
          <w:r>
            <w:fldChar w:fldCharType="begin"/>
          </w:r>
          <w:r>
            <w:instrText xml:space="preserve"> HYPERLINK \l "bookmark3" </w:instrText>
          </w:r>
          <w: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jc w:val="center"/>
            <w:textAlignment w:val="auto"/>
            <w:rPr>
              <w:rFonts w:ascii="仿宋_GB2312" w:hAnsi="仿宋_GB2312" w:eastAsia="仿宋_GB2312" w:cs="仿宋_GB2312"/>
              <w:spacing w:val="3"/>
              <w:sz w:val="28"/>
              <w:szCs w:val="28"/>
            </w:rPr>
          </w:pPr>
          <w:r>
            <w:rPr>
              <w:rFonts w:hint="eastAsia" w:ascii="仿宋_GB2312" w:hAnsi="仿宋_GB2312" w:eastAsia="仿宋_GB2312" w:cs="仿宋_GB2312"/>
              <w:spacing w:val="12"/>
              <w:sz w:val="28"/>
              <w:szCs w:val="28"/>
            </w:rPr>
            <w:t>七、课程结构框架</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5</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jc w:val="center"/>
            <w:textAlignment w:val="auto"/>
            <w:rPr>
              <w:rFonts w:ascii="仿宋_GB2312" w:hAnsi="仿宋_GB2312" w:eastAsia="仿宋_GB2312" w:cs="仿宋_GB2312"/>
              <w:spacing w:val="3"/>
              <w:sz w:val="28"/>
              <w:szCs w:val="28"/>
            </w:rPr>
          </w:pPr>
          <w:r>
            <w:rPr>
              <w:rFonts w:hint="eastAsia" w:ascii="仿宋_GB2312" w:hAnsi="仿宋_GB2312" w:eastAsia="仿宋_GB2312" w:cs="仿宋_GB2312"/>
              <w:spacing w:val="12"/>
              <w:sz w:val="28"/>
              <w:szCs w:val="28"/>
            </w:rPr>
            <w:t>八、课程设置及要求</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7</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firstLine="584" w:firstLineChars="200"/>
            <w:jc w:val="center"/>
            <w:textAlignment w:val="auto"/>
            <w:rPr>
              <w:rFonts w:ascii="仿宋_GB2312" w:hAnsi="仿宋_GB2312" w:eastAsia="仿宋_GB2312" w:cs="仿宋_GB2312"/>
              <w:sz w:val="28"/>
              <w:szCs w:val="28"/>
            </w:rPr>
          </w:pPr>
          <w:r>
            <w:rPr>
              <w:rFonts w:hint="eastAsia" w:ascii="仿宋_GB2312" w:hAnsi="仿宋_GB2312" w:eastAsia="仿宋_GB2312" w:cs="仿宋_GB2312"/>
              <w:spacing w:val="6"/>
              <w:sz w:val="28"/>
              <w:szCs w:val="28"/>
              <w:lang w:val="en-US" w:eastAsia="zh-CN"/>
            </w:rPr>
            <w:t xml:space="preserve">  </w:t>
          </w:r>
          <w:r>
            <w:rPr>
              <w:rFonts w:hint="eastAsia" w:ascii="仿宋_GB2312" w:hAnsi="仿宋_GB2312" w:eastAsia="仿宋_GB2312" w:cs="仿宋_GB2312"/>
              <w:spacing w:val="6"/>
              <w:sz w:val="28"/>
              <w:szCs w:val="28"/>
            </w:rPr>
            <w:t>（一）公共基础课程</w:t>
          </w:r>
          <w:r>
            <w:rPr>
              <w:rFonts w:hint="eastAsia" w:ascii="仿宋_GB2312" w:hAnsi="仿宋_GB2312" w:eastAsia="仿宋_GB2312" w:cs="仿宋_GB2312"/>
              <w:spacing w:val="-94"/>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firstLine="588" w:firstLineChars="200"/>
            <w:jc w:val="center"/>
            <w:textAlignment w:val="auto"/>
            <w:rPr>
              <w:rFonts w:ascii="仿宋_GB2312" w:hAnsi="仿宋_GB2312" w:eastAsia="仿宋_GB2312" w:cs="仿宋_GB2312"/>
              <w:sz w:val="28"/>
              <w:szCs w:val="28"/>
            </w:rPr>
          </w:pPr>
          <w:r>
            <w:rPr>
              <w:rFonts w:hint="eastAsia" w:ascii="仿宋_GB2312" w:hAnsi="仿宋_GB2312" w:eastAsia="仿宋_GB2312" w:cs="仿宋_GB2312"/>
              <w:spacing w:val="7"/>
              <w:sz w:val="28"/>
              <w:szCs w:val="28"/>
              <w:lang w:val="en-US" w:eastAsia="zh-CN"/>
            </w:rPr>
            <w:t xml:space="preserve">  </w:t>
          </w:r>
          <w:r>
            <w:rPr>
              <w:rFonts w:hint="eastAsia" w:ascii="仿宋_GB2312" w:hAnsi="仿宋_GB2312" w:eastAsia="仿宋_GB2312" w:cs="仿宋_GB2312"/>
              <w:spacing w:val="7"/>
              <w:sz w:val="28"/>
              <w:szCs w:val="28"/>
            </w:rPr>
            <w:t>（二）专业（技能）课程</w:t>
          </w:r>
          <w:r>
            <w:rPr>
              <w:rFonts w:hint="eastAsia" w:ascii="仿宋_GB2312" w:hAnsi="仿宋_GB2312" w:eastAsia="仿宋_GB2312" w:cs="仿宋_GB2312"/>
              <w:sz w:val="28"/>
              <w:szCs w:val="28"/>
            </w:rPr>
            <w:tab/>
          </w:r>
          <w:r>
            <w:fldChar w:fldCharType="begin"/>
          </w:r>
          <w:r>
            <w:instrText xml:space="preserve"> HYPERLINK \l "bookmark6" </w:instrText>
          </w:r>
          <w:r>
            <w:fldChar w:fldCharType="separate"/>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lang w:val="en-US" w:eastAsia="zh-CN"/>
            </w:rPr>
            <w:t>1</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19"/>
            </w:tabs>
            <w:kinsoku/>
            <w:wordWrap/>
            <w:overflowPunct/>
            <w:topLinePunct w:val="0"/>
            <w:autoSpaceDE/>
            <w:autoSpaceDN/>
            <w:bidi w:val="0"/>
            <w:adjustRightInd/>
            <w:snapToGrid/>
            <w:spacing w:line="560" w:lineRule="exact"/>
            <w:ind w:firstLine="1450" w:firstLineChars="500"/>
            <w:jc w:val="center"/>
            <w:textAlignment w:val="auto"/>
            <w:rPr>
              <w:rFonts w:hint="eastAsia" w:ascii="仿宋_GB2312" w:hAnsi="仿宋_GB2312" w:eastAsia="仿宋_GB2312" w:cs="仿宋_GB2312"/>
              <w:spacing w:val="1"/>
              <w:sz w:val="28"/>
              <w:szCs w:val="28"/>
              <w:lang w:eastAsia="zh-CN"/>
            </w:rPr>
          </w:pPr>
          <w:r>
            <w:rPr>
              <w:rFonts w:hint="eastAsia" w:ascii="仿宋_GB2312" w:hAnsi="仿宋_GB2312" w:eastAsia="仿宋_GB2312" w:cs="仿宋_GB2312"/>
              <w:spacing w:val="5"/>
              <w:sz w:val="28"/>
              <w:szCs w:val="28"/>
            </w:rPr>
            <w:t>1.专业基础课程</w:t>
          </w:r>
          <w:r>
            <w:rPr>
              <w:rFonts w:hint="eastAsia" w:ascii="仿宋_GB2312" w:hAnsi="仿宋_GB2312" w:eastAsia="仿宋_GB2312" w:cs="仿宋_GB2312"/>
              <w:spacing w:val="-88"/>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lang w:val="en-US" w:eastAsia="zh-CN"/>
            </w:rPr>
            <w:t>1</w:t>
          </w:r>
        </w:p>
        <w:p>
          <w:pPr>
            <w:keepNext w:val="0"/>
            <w:keepLines w:val="0"/>
            <w:pageBreakBefore w:val="0"/>
            <w:widowControl w:val="0"/>
            <w:tabs>
              <w:tab w:val="right" w:leader="dot" w:pos="8219"/>
            </w:tabs>
            <w:kinsoku/>
            <w:wordWrap/>
            <w:overflowPunct/>
            <w:topLinePunct w:val="0"/>
            <w:autoSpaceDE/>
            <w:autoSpaceDN/>
            <w:bidi w:val="0"/>
            <w:adjustRightInd/>
            <w:snapToGrid/>
            <w:spacing w:line="560" w:lineRule="exact"/>
            <w:ind w:firstLine="580" w:firstLineChars="20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5"/>
              <w:sz w:val="28"/>
              <w:szCs w:val="28"/>
              <w:lang w:val="en-US" w:eastAsia="zh-CN"/>
            </w:rPr>
            <w:t xml:space="preserve">      </w:t>
          </w:r>
          <w:r>
            <w:rPr>
              <w:rFonts w:hint="eastAsia" w:ascii="仿宋_GB2312" w:hAnsi="仿宋_GB2312" w:eastAsia="仿宋_GB2312" w:cs="仿宋_GB2312"/>
              <w:spacing w:val="5"/>
              <w:sz w:val="28"/>
              <w:szCs w:val="28"/>
            </w:rPr>
            <w:t>2.专业核心课程</w:t>
          </w:r>
          <w:r>
            <w:rPr>
              <w:rFonts w:hint="eastAsia" w:ascii="仿宋_GB2312" w:hAnsi="仿宋_GB2312" w:eastAsia="仿宋_GB2312" w:cs="仿宋_GB2312"/>
              <w:spacing w:val="-88"/>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lang w:val="en-US" w:eastAsia="zh-CN"/>
            </w:rPr>
            <w:t>2</w:t>
          </w:r>
        </w:p>
        <w:p>
          <w:pPr>
            <w:keepNext w:val="0"/>
            <w:keepLines w:val="0"/>
            <w:pageBreakBefore w:val="0"/>
            <w:widowControl w:val="0"/>
            <w:tabs>
              <w:tab w:val="right" w:leader="dot" w:pos="8219"/>
            </w:tabs>
            <w:kinsoku/>
            <w:wordWrap/>
            <w:overflowPunct/>
            <w:topLinePunct w:val="0"/>
            <w:autoSpaceDE/>
            <w:autoSpaceDN/>
            <w:bidi w:val="0"/>
            <w:adjustRightInd/>
            <w:snapToGrid/>
            <w:spacing w:line="560" w:lineRule="exact"/>
            <w:ind w:firstLine="580"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5"/>
              <w:sz w:val="28"/>
              <w:szCs w:val="28"/>
              <w:lang w:val="en-US" w:eastAsia="zh-CN"/>
            </w:rPr>
            <w:t xml:space="preserve">      </w:t>
          </w:r>
          <w:r>
            <w:rPr>
              <w:rFonts w:hint="eastAsia" w:ascii="仿宋_GB2312" w:hAnsi="仿宋_GB2312" w:eastAsia="仿宋_GB2312" w:cs="仿宋_GB2312"/>
              <w:spacing w:val="5"/>
              <w:sz w:val="28"/>
              <w:szCs w:val="28"/>
            </w:rPr>
            <w:t>3.专业拓展课程</w:t>
          </w:r>
          <w:r>
            <w:rPr>
              <w:rFonts w:hint="eastAsia" w:ascii="仿宋_GB2312" w:hAnsi="仿宋_GB2312" w:eastAsia="仿宋_GB2312" w:cs="仿宋_GB2312"/>
              <w:spacing w:val="-88"/>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lang w:val="en-US" w:eastAsia="zh-CN"/>
            </w:rPr>
            <w:t>4</w:t>
          </w:r>
        </w:p>
        <w:p>
          <w:pPr>
            <w:keepNext w:val="0"/>
            <w:keepLines w:val="0"/>
            <w:pageBreakBefore w:val="0"/>
            <w:widowControl w:val="0"/>
            <w:tabs>
              <w:tab w:val="right" w:leader="dot" w:pos="8219"/>
            </w:tabs>
            <w:kinsoku/>
            <w:wordWrap/>
            <w:overflowPunct/>
            <w:topLinePunct w:val="0"/>
            <w:autoSpaceDE/>
            <w:autoSpaceDN/>
            <w:bidi w:val="0"/>
            <w:adjustRightInd/>
            <w:snapToGrid/>
            <w:spacing w:line="560" w:lineRule="exact"/>
            <w:ind w:firstLine="580" w:firstLineChars="200"/>
            <w:jc w:val="center"/>
            <w:textAlignment w:val="auto"/>
            <w:rPr>
              <w:rFonts w:hint="eastAsia" w:ascii="仿宋_GB2312" w:hAnsi="仿宋_GB2312" w:eastAsia="仿宋_GB2312" w:cs="仿宋_GB2312"/>
              <w:spacing w:val="3"/>
              <w:sz w:val="28"/>
              <w:szCs w:val="28"/>
              <w:lang w:eastAsia="zh-CN"/>
            </w:rPr>
          </w:pPr>
          <w:r>
            <w:rPr>
              <w:rFonts w:hint="eastAsia" w:ascii="仿宋_GB2312" w:hAnsi="仿宋_GB2312" w:eastAsia="仿宋_GB2312" w:cs="仿宋_GB2312"/>
              <w:spacing w:val="5"/>
              <w:sz w:val="28"/>
              <w:szCs w:val="28"/>
              <w:lang w:val="en-US" w:eastAsia="zh-CN"/>
            </w:rPr>
            <w:t xml:space="preserve">      </w:t>
          </w:r>
          <w:r>
            <w:rPr>
              <w:rFonts w:hint="eastAsia" w:ascii="仿宋_GB2312" w:hAnsi="仿宋_GB2312" w:eastAsia="仿宋_GB2312" w:cs="仿宋_GB2312"/>
              <w:spacing w:val="5"/>
              <w:sz w:val="28"/>
              <w:szCs w:val="28"/>
            </w:rPr>
            <w:t>4.实习实训</w:t>
          </w:r>
          <w:r>
            <w:rPr>
              <w:rFonts w:hint="eastAsia" w:ascii="仿宋_GB2312" w:hAnsi="仿宋_GB2312" w:eastAsia="仿宋_GB2312" w:cs="仿宋_GB2312"/>
              <w:spacing w:val="-88"/>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lang w:val="en-US" w:eastAsia="zh-CN"/>
            </w:rPr>
            <w:t>5</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jc w:val="center"/>
            <w:textAlignment w:val="auto"/>
            <w:rPr>
              <w:rFonts w:ascii="仿宋_GB2312" w:hAnsi="仿宋_GB2312" w:eastAsia="仿宋_GB2312" w:cs="仿宋_GB2312"/>
              <w:spacing w:val="3"/>
              <w:sz w:val="28"/>
              <w:szCs w:val="28"/>
            </w:rPr>
          </w:pPr>
          <w:r>
            <w:rPr>
              <w:rFonts w:hint="eastAsia" w:ascii="仿宋_GB2312" w:hAnsi="仿宋_GB2312" w:eastAsia="仿宋_GB2312" w:cs="仿宋_GB2312"/>
              <w:spacing w:val="12"/>
              <w:sz w:val="28"/>
              <w:szCs w:val="28"/>
            </w:rPr>
            <w:t>九、教学进程总体安排</w:t>
          </w:r>
          <w:r>
            <w:rPr>
              <w:rFonts w:hint="eastAsia" w:ascii="仿宋_GB2312" w:hAnsi="仿宋_GB2312" w:eastAsia="仿宋_GB2312" w:cs="仿宋_GB2312"/>
              <w:sz w:val="28"/>
              <w:szCs w:val="28"/>
            </w:rPr>
            <w:tab/>
          </w:r>
          <w:r>
            <w:fldChar w:fldCharType="begin"/>
          </w:r>
          <w:r>
            <w:instrText xml:space="preserve"> HYPERLINK \l "bookmark1" </w:instrText>
          </w:r>
          <w:r>
            <w:fldChar w:fldCharType="separate"/>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lang w:val="en-US" w:eastAsia="zh-CN"/>
            </w:rPr>
            <w:t>7</w:t>
          </w:r>
          <w:r>
            <w:rPr>
              <w:rFonts w:hint="eastAsia" w:ascii="仿宋_GB2312" w:hAnsi="仿宋_GB2312" w:eastAsia="仿宋_GB2312" w:cs="仿宋_GB2312"/>
              <w:spacing w:val="3"/>
              <w:sz w:val="28"/>
              <w:szCs w:val="28"/>
            </w:rPr>
            <w:fldChar w:fldCharType="end"/>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firstLine="600" w:firstLineChars="20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10"/>
              <w:sz w:val="28"/>
              <w:szCs w:val="28"/>
              <w:lang w:val="en-US" w:eastAsia="zh-CN"/>
            </w:rPr>
            <w:t xml:space="preserve">  </w:t>
          </w:r>
          <w:r>
            <w:rPr>
              <w:rFonts w:hint="eastAsia" w:ascii="仿宋_GB2312" w:hAnsi="仿宋_GB2312" w:eastAsia="仿宋_GB2312" w:cs="仿宋_GB2312"/>
              <w:spacing w:val="10"/>
              <w:sz w:val="28"/>
              <w:szCs w:val="28"/>
            </w:rPr>
            <w:t>（一）基本要求</w:t>
          </w:r>
          <w:r>
            <w:rPr>
              <w:rFonts w:hint="eastAsia" w:ascii="仿宋_GB2312" w:hAnsi="仿宋_GB2312" w:eastAsia="仿宋_GB2312" w:cs="仿宋_GB2312"/>
              <w:spacing w:val="-94"/>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lang w:val="en-US" w:eastAsia="zh-CN"/>
            </w:rPr>
            <w:t>7</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firstLine="608" w:firstLineChars="20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12"/>
              <w:sz w:val="28"/>
              <w:szCs w:val="28"/>
              <w:lang w:val="en-US" w:eastAsia="zh-CN"/>
            </w:rPr>
            <w:t xml:space="preserve">  </w:t>
          </w:r>
          <w:r>
            <w:rPr>
              <w:rFonts w:hint="eastAsia" w:ascii="仿宋_GB2312" w:hAnsi="仿宋_GB2312" w:eastAsia="仿宋_GB2312" w:cs="仿宋_GB2312"/>
              <w:spacing w:val="12"/>
              <w:sz w:val="28"/>
              <w:szCs w:val="28"/>
            </w:rPr>
            <w:t>（二）教学时间安排</w:t>
          </w:r>
          <w:r>
            <w:rPr>
              <w:rFonts w:hint="eastAsia" w:ascii="仿宋_GB2312" w:hAnsi="仿宋_GB2312" w:eastAsia="仿宋_GB2312" w:cs="仿宋_GB2312"/>
              <w:spacing w:val="-93"/>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10"/>
              <w:sz w:val="28"/>
              <w:szCs w:val="28"/>
            </w:rPr>
            <w:t xml:space="preserve"> </w:t>
          </w:r>
          <w:r>
            <w:rPr>
              <w:rFonts w:hint="eastAsia" w:ascii="仿宋_GB2312" w:hAnsi="仿宋_GB2312" w:eastAsia="仿宋_GB2312" w:cs="仿宋_GB2312"/>
              <w:spacing w:val="3"/>
              <w:sz w:val="28"/>
              <w:szCs w:val="28"/>
            </w:rPr>
            <w:t>1</w:t>
          </w:r>
          <w:r>
            <w:rPr>
              <w:rFonts w:hint="eastAsia" w:ascii="仿宋_GB2312" w:hAnsi="仿宋_GB2312" w:eastAsia="仿宋_GB2312" w:cs="仿宋_GB2312"/>
              <w:spacing w:val="3"/>
              <w:sz w:val="28"/>
              <w:szCs w:val="28"/>
              <w:lang w:val="en-US" w:eastAsia="zh-CN"/>
            </w:rPr>
            <w:t>7</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604"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11"/>
              <w:sz w:val="28"/>
              <w:szCs w:val="28"/>
              <w:lang w:val="en-US" w:eastAsia="zh-CN"/>
            </w:rPr>
            <w:t xml:space="preserve">  </w:t>
          </w:r>
          <w:r>
            <w:rPr>
              <w:rFonts w:hint="eastAsia" w:ascii="仿宋_GB2312" w:hAnsi="仿宋_GB2312" w:eastAsia="仿宋_GB2312" w:cs="仿宋_GB2312"/>
              <w:spacing w:val="11"/>
              <w:sz w:val="28"/>
              <w:szCs w:val="28"/>
            </w:rPr>
            <w:t>（三）教学进程安排表</w:t>
          </w:r>
          <w:r>
            <w:rPr>
              <w:rFonts w:hint="eastAsia" w:ascii="仿宋_GB2312" w:hAnsi="仿宋_GB2312" w:eastAsia="仿宋_GB2312" w:cs="仿宋_GB2312"/>
              <w:spacing w:val="-94"/>
              <w:sz w:val="28"/>
              <w:szCs w:val="28"/>
            </w:rPr>
            <w:t xml:space="preserve"> </w:t>
          </w:r>
          <w:r>
            <w:rPr>
              <w:rFonts w:hint="eastAsia" w:ascii="仿宋_GB2312" w:hAnsi="仿宋_GB2312" w:eastAsia="仿宋_GB2312" w:cs="仿宋_GB2312"/>
              <w:sz w:val="28"/>
              <w:szCs w:val="28"/>
            </w:rPr>
            <w:tab/>
          </w:r>
          <w:r>
            <w:rPr>
              <w:rFonts w:ascii="仿宋_GB2312" w:hAnsi="仿宋_GB2312" w:eastAsia="仿宋_GB2312" w:cs="仿宋_GB2312"/>
              <w:spacing w:val="1"/>
              <w:sz w:val="28"/>
              <w:szCs w:val="28"/>
            </w:rPr>
            <w:t>1</w:t>
          </w:r>
          <w:r>
            <w:rPr>
              <w:rFonts w:hint="eastAsia" w:ascii="仿宋_GB2312" w:hAnsi="仿宋_GB2312" w:eastAsia="仿宋_GB2312" w:cs="仿宋_GB2312"/>
              <w:spacing w:val="1"/>
              <w:sz w:val="28"/>
              <w:szCs w:val="28"/>
              <w:lang w:val="en-US" w:eastAsia="zh-CN"/>
            </w:rPr>
            <w:t>8</w:t>
          </w:r>
        </w:p>
        <w:p>
          <w:pPr>
            <w:keepNext w:val="0"/>
            <w:keepLines w:val="0"/>
            <w:pageBreakBefore w:val="0"/>
            <w:widowControl w:val="0"/>
            <w:tabs>
              <w:tab w:val="right" w:leader="dot" w:pos="8230"/>
            </w:tabs>
            <w:kinsoku/>
            <w:wordWrap/>
            <w:overflowPunct/>
            <w:topLinePunct w:val="0"/>
            <w:autoSpaceDE/>
            <w:autoSpaceDN/>
            <w:bidi w:val="0"/>
            <w:adjustRightInd/>
            <w:snapToGrid/>
            <w:spacing w:line="560" w:lineRule="exact"/>
            <w:ind w:firstLine="596" w:firstLineChars="200"/>
            <w:jc w:val="center"/>
            <w:textAlignment w:val="auto"/>
            <w:rPr>
              <w:rFonts w:hint="eastAsia" w:ascii="仿宋_GB2312" w:hAnsi="仿宋_GB2312" w:eastAsia="仿宋_GB2312" w:cs="仿宋_GB2312"/>
              <w:spacing w:val="2"/>
              <w:sz w:val="28"/>
              <w:szCs w:val="28"/>
              <w:lang w:val="en-US" w:eastAsia="zh-CN"/>
            </w:rPr>
          </w:pPr>
          <w:r>
            <w:rPr>
              <w:rFonts w:hint="eastAsia" w:ascii="仿宋_GB2312" w:hAnsi="仿宋_GB2312" w:eastAsia="仿宋_GB2312" w:cs="仿宋_GB2312"/>
              <w:spacing w:val="9"/>
              <w:sz w:val="28"/>
              <w:szCs w:val="28"/>
            </w:rPr>
            <w:t>十、实施保障</w:t>
          </w:r>
          <w:r>
            <w:rPr>
              <w:rFonts w:hint="eastAsia" w:ascii="仿宋_GB2312" w:hAnsi="仿宋_GB2312" w:eastAsia="仿宋_GB2312" w:cs="仿宋_GB2312"/>
              <w:sz w:val="28"/>
              <w:szCs w:val="28"/>
            </w:rPr>
            <w:tab/>
          </w:r>
          <w:r>
            <w:rPr>
              <w:rFonts w:ascii="仿宋_GB2312" w:hAnsi="仿宋_GB2312" w:eastAsia="仿宋_GB2312" w:cs="仿宋_GB2312"/>
              <w:spacing w:val="3"/>
              <w:sz w:val="28"/>
              <w:szCs w:val="28"/>
            </w:rPr>
            <w:t>2</w:t>
          </w:r>
          <w:r>
            <w:rPr>
              <w:rFonts w:hint="eastAsia" w:ascii="仿宋_GB2312" w:hAnsi="仿宋_GB2312" w:eastAsia="仿宋_GB2312" w:cs="仿宋_GB2312"/>
              <w:spacing w:val="3"/>
              <w:sz w:val="28"/>
              <w:szCs w:val="28"/>
              <w:lang w:val="en-US" w:eastAsia="zh-CN"/>
            </w:rPr>
            <w:t>3</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firstLine="600" w:firstLineChars="200"/>
            <w:jc w:val="center"/>
            <w:textAlignment w:val="auto"/>
            <w:rPr>
              <w:rFonts w:hint="eastAsia" w:ascii="仿宋_GB2312" w:hAnsi="仿宋_GB2312" w:eastAsia="仿宋_GB2312" w:cs="仿宋_GB2312"/>
              <w:spacing w:val="10"/>
              <w:sz w:val="28"/>
              <w:szCs w:val="28"/>
            </w:rPr>
            <w:sectPr>
              <w:headerReference r:id="rId3"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firstLine="600"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10"/>
              <w:sz w:val="28"/>
              <w:szCs w:val="28"/>
              <w:lang w:val="en-US" w:eastAsia="zh-CN"/>
            </w:rPr>
            <w:t xml:space="preserve">  </w:t>
          </w:r>
          <w:r>
            <w:rPr>
              <w:rFonts w:hint="eastAsia" w:ascii="仿宋_GB2312" w:hAnsi="仿宋_GB2312" w:eastAsia="仿宋_GB2312" w:cs="仿宋_GB2312"/>
              <w:spacing w:val="10"/>
              <w:sz w:val="28"/>
              <w:szCs w:val="28"/>
            </w:rPr>
            <w:t>（一）师资队伍</w:t>
          </w:r>
          <w:r>
            <w:rPr>
              <w:rFonts w:hint="eastAsia" w:ascii="仿宋_GB2312" w:hAnsi="仿宋_GB2312" w:eastAsia="仿宋_GB2312" w:cs="仿宋_GB2312"/>
              <w:spacing w:val="-89"/>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2</w:t>
          </w:r>
          <w:r>
            <w:rPr>
              <w:rFonts w:hint="eastAsia" w:ascii="仿宋_GB2312" w:hAnsi="仿宋_GB2312" w:eastAsia="仿宋_GB2312" w:cs="仿宋_GB2312"/>
              <w:spacing w:val="3"/>
              <w:sz w:val="28"/>
              <w:szCs w:val="28"/>
              <w:lang w:val="en-US" w:eastAsia="zh-CN"/>
            </w:rPr>
            <w:t>3</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firstLine="604"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11"/>
              <w:sz w:val="28"/>
              <w:szCs w:val="28"/>
              <w:lang w:val="en-US" w:eastAsia="zh-CN"/>
            </w:rPr>
            <w:t xml:space="preserve">  </w:t>
          </w:r>
          <w:r>
            <w:rPr>
              <w:rFonts w:hint="eastAsia" w:ascii="仿宋_GB2312" w:hAnsi="仿宋_GB2312" w:eastAsia="仿宋_GB2312" w:cs="仿宋_GB2312"/>
              <w:spacing w:val="11"/>
              <w:sz w:val="28"/>
              <w:szCs w:val="28"/>
            </w:rPr>
            <w:t>（二）教学设施</w:t>
          </w:r>
          <w:r>
            <w:rPr>
              <w:rFonts w:hint="eastAsia" w:ascii="仿宋_GB2312" w:hAnsi="仿宋_GB2312" w:eastAsia="仿宋_GB2312" w:cs="仿宋_GB2312"/>
              <w:spacing w:val="-91"/>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21"/>
              <w:sz w:val="28"/>
              <w:szCs w:val="28"/>
            </w:rPr>
            <w:t xml:space="preserve"> </w:t>
          </w:r>
          <w:r>
            <w:rPr>
              <w:rFonts w:hint="eastAsia" w:ascii="仿宋_GB2312" w:hAnsi="仿宋_GB2312" w:eastAsia="仿宋_GB2312" w:cs="仿宋_GB2312"/>
              <w:spacing w:val="3"/>
              <w:sz w:val="28"/>
              <w:szCs w:val="28"/>
            </w:rPr>
            <w:t>2</w:t>
          </w:r>
          <w:r>
            <w:rPr>
              <w:rFonts w:hint="eastAsia" w:ascii="仿宋_GB2312" w:hAnsi="仿宋_GB2312" w:eastAsia="仿宋_GB2312" w:cs="仿宋_GB2312"/>
              <w:spacing w:val="3"/>
              <w:sz w:val="28"/>
              <w:szCs w:val="28"/>
              <w:lang w:val="en-US" w:eastAsia="zh-CN"/>
            </w:rPr>
            <w:t>4</w:t>
          </w:r>
        </w:p>
        <w:p>
          <w:pPr>
            <w:keepNext w:val="0"/>
            <w:keepLines w:val="0"/>
            <w:pageBreakBefore w:val="0"/>
            <w:widowControl w:val="0"/>
            <w:tabs>
              <w:tab w:val="right" w:leader="dot" w:pos="8270"/>
            </w:tabs>
            <w:kinsoku/>
            <w:wordWrap/>
            <w:overflowPunct/>
            <w:topLinePunct w:val="0"/>
            <w:autoSpaceDE/>
            <w:autoSpaceDN/>
            <w:bidi w:val="0"/>
            <w:adjustRightInd/>
            <w:snapToGrid/>
            <w:spacing w:line="560" w:lineRule="exact"/>
            <w:ind w:firstLine="596"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9"/>
              <w:sz w:val="28"/>
              <w:szCs w:val="28"/>
              <w:lang w:val="en-US" w:eastAsia="zh-CN"/>
            </w:rPr>
            <w:t xml:space="preserve">  </w:t>
          </w:r>
          <w:r>
            <w:rPr>
              <w:rFonts w:hint="eastAsia" w:ascii="仿宋_GB2312" w:hAnsi="仿宋_GB2312" w:eastAsia="仿宋_GB2312" w:cs="仿宋_GB2312"/>
              <w:spacing w:val="9"/>
              <w:sz w:val="28"/>
              <w:szCs w:val="28"/>
            </w:rPr>
            <w:t>（三）教学资源</w:t>
          </w:r>
          <w:r>
            <w:rPr>
              <w:rFonts w:hint="eastAsia" w:ascii="仿宋_GB2312" w:hAnsi="仿宋_GB2312" w:eastAsia="仿宋_GB2312" w:cs="仿宋_GB2312"/>
              <w:spacing w:val="-91"/>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 xml:space="preserve"> 2</w:t>
          </w:r>
          <w:r>
            <w:rPr>
              <w:rFonts w:hint="eastAsia" w:ascii="仿宋_GB2312" w:hAnsi="仿宋_GB2312" w:eastAsia="仿宋_GB2312" w:cs="仿宋_GB2312"/>
              <w:spacing w:val="3"/>
              <w:sz w:val="28"/>
              <w:szCs w:val="28"/>
              <w:lang w:val="en-US" w:eastAsia="zh-CN"/>
            </w:rPr>
            <w:t>8</w:t>
          </w:r>
        </w:p>
        <w:p>
          <w:pPr>
            <w:keepNext w:val="0"/>
            <w:keepLines w:val="0"/>
            <w:pageBreakBefore w:val="0"/>
            <w:widowControl w:val="0"/>
            <w:tabs>
              <w:tab w:val="right" w:leader="dot" w:pos="8272"/>
            </w:tabs>
            <w:kinsoku/>
            <w:wordWrap/>
            <w:overflowPunct/>
            <w:topLinePunct w:val="0"/>
            <w:autoSpaceDE/>
            <w:autoSpaceDN/>
            <w:bidi w:val="0"/>
            <w:adjustRightInd/>
            <w:snapToGrid/>
            <w:spacing w:line="560" w:lineRule="exact"/>
            <w:ind w:firstLine="600"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10"/>
              <w:sz w:val="28"/>
              <w:szCs w:val="28"/>
              <w:lang w:val="en-US" w:eastAsia="zh-CN"/>
            </w:rPr>
            <w:t xml:space="preserve">  </w:t>
          </w:r>
          <w:r>
            <w:rPr>
              <w:rFonts w:hint="eastAsia" w:ascii="仿宋_GB2312" w:hAnsi="仿宋_GB2312" w:eastAsia="仿宋_GB2312" w:cs="仿宋_GB2312"/>
              <w:spacing w:val="10"/>
              <w:sz w:val="28"/>
              <w:szCs w:val="28"/>
            </w:rPr>
            <w:t>（四）教学方法</w:t>
          </w:r>
          <w:r>
            <w:rPr>
              <w:rFonts w:hint="eastAsia" w:ascii="仿宋_GB2312" w:hAnsi="仿宋_GB2312" w:eastAsia="仿宋_GB2312" w:cs="仿宋_GB2312"/>
              <w:spacing w:val="-96"/>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lang w:val="en-US" w:eastAsia="zh-CN"/>
            </w:rPr>
            <w:t>29</w:t>
          </w:r>
        </w:p>
        <w:p>
          <w:pPr>
            <w:keepNext w:val="0"/>
            <w:keepLines w:val="0"/>
            <w:pageBreakBefore w:val="0"/>
            <w:widowControl w:val="0"/>
            <w:tabs>
              <w:tab w:val="right" w:leader="dot" w:pos="8262"/>
            </w:tabs>
            <w:kinsoku/>
            <w:wordWrap/>
            <w:overflowPunct/>
            <w:topLinePunct w:val="0"/>
            <w:autoSpaceDE/>
            <w:autoSpaceDN/>
            <w:bidi w:val="0"/>
            <w:adjustRightInd/>
            <w:snapToGrid/>
            <w:spacing w:line="560" w:lineRule="exact"/>
            <w:ind w:firstLine="604" w:firstLineChars="200"/>
            <w:jc w:val="center"/>
            <w:textAlignment w:val="auto"/>
            <w:rPr>
              <w:rFonts w:ascii="仿宋_GB2312" w:hAnsi="仿宋_GB2312" w:eastAsia="仿宋_GB2312" w:cs="仿宋_GB2312"/>
              <w:sz w:val="28"/>
              <w:szCs w:val="28"/>
            </w:rPr>
          </w:pPr>
          <w:r>
            <w:rPr>
              <w:rFonts w:hint="eastAsia" w:ascii="仿宋_GB2312" w:hAnsi="仿宋_GB2312" w:eastAsia="仿宋_GB2312" w:cs="仿宋_GB2312"/>
              <w:spacing w:val="11"/>
              <w:sz w:val="28"/>
              <w:szCs w:val="28"/>
              <w:lang w:val="en-US" w:eastAsia="zh-CN"/>
            </w:rPr>
            <w:t xml:space="preserve">  </w:t>
          </w:r>
          <w:r>
            <w:rPr>
              <w:rFonts w:hint="eastAsia" w:ascii="仿宋_GB2312" w:hAnsi="仿宋_GB2312" w:eastAsia="仿宋_GB2312" w:cs="仿宋_GB2312"/>
              <w:spacing w:val="11"/>
              <w:sz w:val="28"/>
              <w:szCs w:val="28"/>
            </w:rPr>
            <w:t>（五）学习评价</w:t>
          </w:r>
          <w:r>
            <w:rPr>
              <w:rFonts w:hint="eastAsia" w:ascii="仿宋_GB2312" w:hAnsi="仿宋_GB2312" w:eastAsia="仿宋_GB2312" w:cs="仿宋_GB2312"/>
              <w:spacing w:val="-76"/>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 xml:space="preserve"> 3</w:t>
          </w:r>
          <w:r>
            <w:rPr>
              <w:rFonts w:ascii="仿宋_GB2312" w:hAnsi="仿宋_GB2312" w:eastAsia="仿宋_GB2312" w:cs="仿宋_GB2312"/>
              <w:spacing w:val="3"/>
              <w:sz w:val="28"/>
              <w:szCs w:val="28"/>
            </w:rPr>
            <w:t>0</w:t>
          </w:r>
        </w:p>
        <w:p>
          <w:pPr>
            <w:keepNext w:val="0"/>
            <w:keepLines w:val="0"/>
            <w:pageBreakBefore w:val="0"/>
            <w:widowControl w:val="0"/>
            <w:tabs>
              <w:tab w:val="right" w:leader="dot" w:pos="8292"/>
            </w:tabs>
            <w:kinsoku/>
            <w:wordWrap/>
            <w:overflowPunct/>
            <w:topLinePunct w:val="0"/>
            <w:autoSpaceDE/>
            <w:autoSpaceDN/>
            <w:bidi w:val="0"/>
            <w:adjustRightInd/>
            <w:snapToGrid/>
            <w:spacing w:line="560" w:lineRule="exact"/>
            <w:ind w:firstLine="600" w:firstLineChars="200"/>
            <w:jc w:val="center"/>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10"/>
              <w:sz w:val="28"/>
              <w:szCs w:val="28"/>
              <w:lang w:val="en-US" w:eastAsia="zh-CN"/>
            </w:rPr>
            <w:t xml:space="preserve">  </w:t>
          </w:r>
          <w:r>
            <w:rPr>
              <w:rFonts w:hint="eastAsia" w:ascii="仿宋_GB2312" w:hAnsi="仿宋_GB2312" w:eastAsia="仿宋_GB2312" w:cs="仿宋_GB2312"/>
              <w:spacing w:val="10"/>
              <w:sz w:val="28"/>
              <w:szCs w:val="28"/>
            </w:rPr>
            <w:t>（六）质量管理</w:t>
          </w:r>
          <w:r>
            <w:rPr>
              <w:rFonts w:hint="eastAsia" w:ascii="仿宋_GB2312" w:hAnsi="仿宋_GB2312" w:eastAsia="仿宋_GB2312" w:cs="仿宋_GB2312"/>
              <w:spacing w:val="-89"/>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11"/>
              <w:sz w:val="28"/>
              <w:szCs w:val="28"/>
            </w:rPr>
            <w:t xml:space="preserve"> </w:t>
          </w:r>
          <w:r>
            <w:rPr>
              <w:rFonts w:hint="eastAsia" w:ascii="仿宋_GB2312" w:hAnsi="仿宋_GB2312" w:eastAsia="仿宋_GB2312" w:cs="仿宋_GB2312"/>
              <w:spacing w:val="3"/>
              <w:sz w:val="28"/>
              <w:szCs w:val="28"/>
            </w:rPr>
            <w:t>3</w:t>
          </w:r>
          <w:r>
            <w:rPr>
              <w:rFonts w:hint="eastAsia" w:ascii="仿宋_GB2312" w:hAnsi="仿宋_GB2312" w:eastAsia="仿宋_GB2312" w:cs="仿宋_GB2312"/>
              <w:spacing w:val="3"/>
              <w:sz w:val="28"/>
              <w:szCs w:val="28"/>
              <w:lang w:val="en-US" w:eastAsia="zh-CN"/>
            </w:rPr>
            <w:t>0</w:t>
          </w:r>
        </w:p>
        <w:p>
          <w:pPr>
            <w:keepNext w:val="0"/>
            <w:keepLines w:val="0"/>
            <w:pageBreakBefore w:val="0"/>
            <w:widowControl w:val="0"/>
            <w:tabs>
              <w:tab w:val="right" w:leader="dot" w:pos="8230"/>
            </w:tabs>
            <w:kinsoku/>
            <w:wordWrap/>
            <w:overflowPunct/>
            <w:topLinePunct w:val="0"/>
            <w:autoSpaceDE/>
            <w:autoSpaceDN/>
            <w:bidi w:val="0"/>
            <w:adjustRightInd/>
            <w:snapToGrid/>
            <w:spacing w:line="560" w:lineRule="exact"/>
            <w:ind w:firstLine="596" w:firstLineChars="200"/>
            <w:jc w:val="center"/>
            <w:textAlignment w:val="auto"/>
            <w:rPr>
              <w:rFonts w:hint="eastAsia" w:ascii="仿宋_GB2312" w:hAnsi="仿宋_GB2312" w:eastAsia="仿宋_GB2312" w:cs="仿宋_GB2312"/>
              <w:spacing w:val="2"/>
              <w:sz w:val="28"/>
              <w:szCs w:val="28"/>
              <w:lang w:val="en-US" w:eastAsia="zh-CN"/>
            </w:rPr>
          </w:pPr>
          <w:r>
            <w:rPr>
              <w:rFonts w:hint="eastAsia" w:ascii="仿宋_GB2312" w:hAnsi="仿宋_GB2312" w:eastAsia="仿宋_GB2312" w:cs="仿宋_GB2312"/>
              <w:spacing w:val="9"/>
              <w:sz w:val="28"/>
              <w:szCs w:val="28"/>
            </w:rPr>
            <w:t>十一、毕业要求</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3</w:t>
          </w:r>
          <w:r>
            <w:rPr>
              <w:rFonts w:hint="eastAsia" w:ascii="仿宋_GB2312" w:hAnsi="仿宋_GB2312" w:eastAsia="仿宋_GB2312" w:cs="仿宋_GB2312"/>
              <w:spacing w:val="3"/>
              <w:sz w:val="28"/>
              <w:szCs w:val="28"/>
              <w:lang w:val="en-US" w:eastAsia="zh-CN"/>
            </w:rPr>
            <w:t>1</w:t>
          </w:r>
        </w:p>
        <w:p>
          <w:pPr>
            <w:keepNext w:val="0"/>
            <w:keepLines w:val="0"/>
            <w:pageBreakBefore w:val="0"/>
            <w:widowControl w:val="0"/>
            <w:tabs>
              <w:tab w:val="right" w:leader="dot" w:pos="8230"/>
            </w:tabs>
            <w:kinsoku/>
            <w:wordWrap/>
            <w:overflowPunct/>
            <w:topLinePunct w:val="0"/>
            <w:autoSpaceDE/>
            <w:autoSpaceDN/>
            <w:bidi w:val="0"/>
            <w:adjustRightInd/>
            <w:snapToGrid/>
            <w:spacing w:line="560" w:lineRule="exact"/>
            <w:ind w:firstLine="596" w:firstLineChars="200"/>
            <w:jc w:val="center"/>
            <w:textAlignment w:val="auto"/>
            <w:rPr>
              <w:rFonts w:hint="eastAsia" w:ascii="仿宋_GB2312" w:hAnsi="仿宋_GB2312" w:eastAsia="仿宋_GB2312" w:cs="仿宋_GB2312"/>
              <w:spacing w:val="2"/>
              <w:sz w:val="28"/>
              <w:szCs w:val="28"/>
              <w:lang w:val="en-US" w:eastAsia="zh-CN"/>
            </w:rPr>
          </w:pPr>
          <w:r>
            <w:rPr>
              <w:rFonts w:hint="eastAsia" w:ascii="仿宋_GB2312" w:hAnsi="仿宋_GB2312" w:eastAsia="仿宋_GB2312" w:cs="仿宋_GB2312"/>
              <w:spacing w:val="9"/>
              <w:sz w:val="28"/>
              <w:szCs w:val="28"/>
            </w:rPr>
            <w:t>十二、附录</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3</w:t>
          </w:r>
          <w:r>
            <w:rPr>
              <w:rFonts w:hint="eastAsia" w:ascii="仿宋_GB2312" w:hAnsi="仿宋_GB2312" w:eastAsia="仿宋_GB2312" w:cs="仿宋_GB2312"/>
              <w:spacing w:val="3"/>
              <w:sz w:val="28"/>
              <w:szCs w:val="28"/>
              <w:lang w:val="en-US" w:eastAsia="zh-CN"/>
            </w:rPr>
            <w:t>2</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firstLine="600"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10"/>
              <w:sz w:val="28"/>
              <w:szCs w:val="28"/>
              <w:lang w:val="en-US" w:eastAsia="zh-CN"/>
            </w:rPr>
            <w:t xml:space="preserve">  </w:t>
          </w:r>
          <w:r>
            <w:rPr>
              <w:rFonts w:hint="eastAsia" w:ascii="仿宋_GB2312" w:hAnsi="仿宋_GB2312" w:eastAsia="仿宋_GB2312" w:cs="仿宋_GB2312"/>
              <w:spacing w:val="10"/>
              <w:sz w:val="28"/>
              <w:szCs w:val="28"/>
            </w:rPr>
            <w:t>（一）岗课赛证与职业能力分析表</w:t>
          </w:r>
          <w:r>
            <w:rPr>
              <w:rFonts w:hint="eastAsia" w:ascii="仿宋_GB2312" w:hAnsi="仿宋_GB2312" w:eastAsia="仿宋_GB2312" w:cs="仿宋_GB2312"/>
              <w:spacing w:val="-89"/>
              <w:sz w:val="28"/>
              <w:szCs w:val="28"/>
            </w:rPr>
            <w:t xml:space="preserve"> </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3</w:t>
          </w:r>
          <w:r>
            <w:rPr>
              <w:rFonts w:hint="eastAsia" w:ascii="仿宋_GB2312" w:hAnsi="仿宋_GB2312" w:eastAsia="仿宋_GB2312" w:cs="仿宋_GB2312"/>
              <w:spacing w:val="3"/>
              <w:sz w:val="28"/>
              <w:szCs w:val="28"/>
              <w:lang w:val="en-US" w:eastAsia="zh-CN"/>
            </w:rPr>
            <w:t>3</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firstLine="604"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11"/>
              <w:sz w:val="28"/>
              <w:szCs w:val="28"/>
              <w:lang w:val="en-US" w:eastAsia="zh-CN"/>
            </w:rPr>
            <w:t xml:space="preserve">  </w:t>
          </w:r>
          <w:r>
            <w:rPr>
              <w:rFonts w:hint="eastAsia" w:ascii="仿宋_GB2312" w:hAnsi="仿宋_GB2312" w:eastAsia="仿宋_GB2312" w:cs="仿宋_GB2312"/>
              <w:spacing w:val="11"/>
              <w:sz w:val="28"/>
              <w:szCs w:val="28"/>
            </w:rPr>
            <w:t>（二）</w:t>
          </w:r>
          <w:r>
            <w:rPr>
              <w:rFonts w:hint="eastAsia" w:ascii="仿宋_GB2312" w:hAnsi="仿宋_GB2312" w:eastAsia="仿宋_GB2312" w:cs="仿宋_GB2312"/>
              <w:spacing w:val="10"/>
              <w:sz w:val="28"/>
              <w:szCs w:val="28"/>
            </w:rPr>
            <w:t>教学进程变更申请表</w:t>
          </w:r>
          <w:r>
            <w:rPr>
              <w:rFonts w:hint="eastAsia" w:ascii="仿宋_GB2312" w:hAnsi="仿宋_GB2312" w:eastAsia="仿宋_GB2312" w:cs="仿宋_GB2312"/>
              <w:sz w:val="28"/>
              <w:szCs w:val="28"/>
            </w:rPr>
            <w:tab/>
          </w:r>
          <w:r>
            <w:rPr>
              <w:rFonts w:hint="eastAsia" w:ascii="仿宋_GB2312" w:hAnsi="仿宋_GB2312" w:eastAsia="仿宋_GB2312" w:cs="仿宋_GB2312"/>
              <w:spacing w:val="3"/>
              <w:sz w:val="28"/>
              <w:szCs w:val="28"/>
            </w:rPr>
            <w:t xml:space="preserve"> </w:t>
          </w:r>
          <w:r>
            <w:rPr>
              <w:rFonts w:ascii="仿宋_GB2312" w:hAnsi="仿宋_GB2312" w:eastAsia="仿宋_GB2312" w:cs="仿宋_GB2312"/>
              <w:spacing w:val="3"/>
              <w:sz w:val="28"/>
              <w:szCs w:val="28"/>
            </w:rPr>
            <w:t>3</w:t>
          </w:r>
          <w:r>
            <w:rPr>
              <w:rFonts w:hint="eastAsia" w:ascii="仿宋_GB2312" w:hAnsi="仿宋_GB2312" w:eastAsia="仿宋_GB2312" w:cs="仿宋_GB2312"/>
              <w:spacing w:val="3"/>
              <w:sz w:val="28"/>
              <w:szCs w:val="28"/>
              <w:lang w:val="en-US" w:eastAsia="zh-CN"/>
            </w:rPr>
            <w:t>5</w:t>
          </w:r>
        </w:p>
        <w:p>
          <w:pPr>
            <w:keepNext w:val="0"/>
            <w:keepLines w:val="0"/>
            <w:pageBreakBefore w:val="0"/>
            <w:widowControl w:val="0"/>
            <w:tabs>
              <w:tab w:val="right" w:leader="dot" w:pos="8230"/>
            </w:tabs>
            <w:kinsoku/>
            <w:wordWrap/>
            <w:overflowPunct/>
            <w:topLinePunct w:val="0"/>
            <w:autoSpaceDE/>
            <w:autoSpaceDN/>
            <w:bidi w:val="0"/>
            <w:adjustRightInd/>
            <w:snapToGrid/>
            <w:spacing w:line="560" w:lineRule="exact"/>
            <w:ind w:firstLine="568" w:firstLineChars="200"/>
            <w:jc w:val="center"/>
            <w:textAlignment w:val="auto"/>
            <w:rPr>
              <w:rFonts w:hint="eastAsia" w:ascii="仿宋_GB2312" w:hAnsi="仿宋_GB2312" w:eastAsia="仿宋_GB2312" w:cs="仿宋_GB2312"/>
              <w:spacing w:val="2"/>
              <w:sz w:val="28"/>
              <w:szCs w:val="28"/>
              <w:lang w:val="en-US" w:eastAsia="zh-CN"/>
            </w:rPr>
          </w:pPr>
          <w:r>
            <w:rPr>
              <w:rFonts w:hint="eastAsia" w:ascii="仿宋_GB2312" w:hAnsi="仿宋_GB2312" w:eastAsia="仿宋_GB2312" w:cs="仿宋_GB2312"/>
              <w:spacing w:val="2"/>
              <w:sz w:val="28"/>
              <w:szCs w:val="28"/>
            </w:rPr>
            <w:t>十三、课程标准</w:t>
          </w:r>
          <w:r>
            <w:rPr>
              <w:rFonts w:hint="eastAsia" w:ascii="仿宋_GB2312" w:hAnsi="仿宋_GB2312" w:eastAsia="仿宋_GB2312" w:cs="仿宋_GB2312"/>
              <w:sz w:val="28"/>
              <w:szCs w:val="28"/>
            </w:rPr>
            <w:tab/>
          </w:r>
          <w:r>
            <w:rPr>
              <w:rFonts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6</w:t>
          </w:r>
        </w:p>
        <w:p>
          <w:pPr>
            <w:keepNext w:val="0"/>
            <w:keepLines w:val="0"/>
            <w:pageBreakBefore w:val="0"/>
            <w:widowControl w:val="0"/>
            <w:tabs>
              <w:tab w:val="right" w:leader="dot" w:pos="8292"/>
            </w:tabs>
            <w:kinsoku/>
            <w:wordWrap/>
            <w:overflowPunct/>
            <w:topLinePunct w:val="0"/>
            <w:autoSpaceDE/>
            <w:autoSpaceDN/>
            <w:bidi w:val="0"/>
            <w:adjustRightInd/>
            <w:snapToGrid/>
            <w:spacing w:before="126" w:line="222" w:lineRule="auto"/>
            <w:ind w:left="1663" w:firstLine="548" w:firstLineChars="200"/>
            <w:textAlignment w:val="auto"/>
            <w:rPr>
              <w:rFonts w:ascii="仿宋_GB2312" w:hAnsi="仿宋_GB2312" w:eastAsia="仿宋_GB2312" w:cs="仿宋_GB2312"/>
              <w:spacing w:val="-3"/>
              <w:sz w:val="28"/>
              <w:szCs w:val="28"/>
            </w:rPr>
          </w:pPr>
        </w:p>
        <w:p>
          <w:pPr>
            <w:keepNext w:val="0"/>
            <w:keepLines w:val="0"/>
            <w:pageBreakBefore w:val="0"/>
            <w:widowControl w:val="0"/>
            <w:tabs>
              <w:tab w:val="right" w:leader="dot" w:pos="8292"/>
            </w:tabs>
            <w:kinsoku/>
            <w:wordWrap/>
            <w:overflowPunct/>
            <w:topLinePunct w:val="0"/>
            <w:autoSpaceDE/>
            <w:autoSpaceDN/>
            <w:bidi w:val="0"/>
            <w:adjustRightInd/>
            <w:snapToGrid/>
            <w:spacing w:before="126" w:line="222" w:lineRule="auto"/>
            <w:ind w:left="1663" w:firstLine="360" w:firstLineChars="200"/>
            <w:textAlignment w:val="auto"/>
            <w:rPr>
              <w:rFonts w:ascii="仿宋_GB2312" w:hAnsi="仿宋_GB2312" w:eastAsia="仿宋_GB2312" w:cs="仿宋_GB2312"/>
              <w:sz w:val="18"/>
              <w:szCs w:val="18"/>
            </w:rPr>
          </w:pPr>
        </w:p>
        <w:p>
          <w:pPr>
            <w:tabs>
              <w:tab w:val="right" w:leader="dot" w:pos="8292"/>
            </w:tabs>
            <w:spacing w:before="126" w:line="222" w:lineRule="auto"/>
            <w:rPr>
              <w:rFonts w:ascii="仿宋_GB2312" w:hAnsi="仿宋_GB2312" w:eastAsia="仿宋_GB2312" w:cs="仿宋_GB2312"/>
              <w:sz w:val="18"/>
              <w:szCs w:val="18"/>
            </w:rPr>
          </w:pPr>
        </w:p>
        <w:p>
          <w:pPr>
            <w:tabs>
              <w:tab w:val="right" w:leader="dot" w:pos="8292"/>
            </w:tabs>
            <w:spacing w:before="126" w:line="222" w:lineRule="auto"/>
            <w:rPr>
              <w:rFonts w:ascii="仿宋_GB2312" w:hAnsi="仿宋_GB2312" w:eastAsia="仿宋_GB2312" w:cs="仿宋_GB2312"/>
              <w:sz w:val="18"/>
              <w:szCs w:val="18"/>
            </w:rPr>
          </w:pPr>
        </w:p>
      </w:sdtContent>
    </w:sdt>
    <w:p>
      <w:pPr>
        <w:adjustRightInd w:val="0"/>
        <w:snapToGrid w:val="0"/>
        <w:spacing w:after="435" w:afterLines="100" w:line="580" w:lineRule="exact"/>
        <w:rPr>
          <w:rFonts w:ascii="方正小标宋简体" w:hAnsi="方正小标宋简体" w:eastAsia="方正小标宋简体" w:cs="方正小标宋简体"/>
          <w:sz w:val="44"/>
          <w:szCs w:val="44"/>
        </w:rPr>
        <w:sectPr>
          <w:footerReference r:id="rId4" w:type="default"/>
          <w:pgSz w:w="11907" w:h="16840"/>
          <w:pgMar w:top="2041" w:right="1531" w:bottom="1985" w:left="1531" w:header="851" w:footer="1644" w:gutter="0"/>
          <w:pgNumType w:fmt="numberInDash" w:start="1"/>
          <w:cols w:space="425" w:num="1"/>
          <w:docGrid w:type="lines" w:linePitch="435" w:charSpace="-6554"/>
        </w:sectPr>
      </w:pPr>
    </w:p>
    <w:p>
      <w:pPr>
        <w:widowControl/>
        <w:jc w:val="left"/>
        <w:rPr>
          <w:rFonts w:ascii="方正小标宋简体" w:hAnsi="方正小标宋简体" w:eastAsia="方正小标宋简体" w:cs="方正小标宋简体"/>
          <w:sz w:val="44"/>
          <w:szCs w:val="44"/>
        </w:rPr>
        <w:sectPr>
          <w:footerReference r:id="rId5" w:type="default"/>
          <w:type w:val="continuous"/>
          <w:pgSz w:w="11907" w:h="16840"/>
          <w:pgMar w:top="2041" w:right="1531" w:bottom="1985" w:left="1531" w:header="851" w:footer="1644" w:gutter="0"/>
          <w:pgNumType w:fmt="numberInDash"/>
          <w:cols w:space="425" w:num="1"/>
          <w:docGrid w:type="lines" w:linePitch="435" w:charSpace="-6554"/>
        </w:sectPr>
      </w:pPr>
      <w:r>
        <w:rPr>
          <w:rFonts w:ascii="方正小标宋简体" w:hAnsi="方正小标宋简体" w:eastAsia="方正小标宋简体" w:cs="方正小标宋简体"/>
          <w:sz w:val="44"/>
          <w:szCs w:val="44"/>
        </w:rPr>
        <w:br w:type="page"/>
      </w:r>
    </w:p>
    <w:p>
      <w:pPr>
        <w:adjustRightInd w:val="0"/>
        <w:snapToGrid w:val="0"/>
        <w:spacing w:after="217" w:afterLines="50"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物流服务与管理专业人才培养方案</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ascii="黑体" w:hAnsi="黑体" w:eastAsia="黑体" w:cs="黑体"/>
          <w:sz w:val="32"/>
          <w:szCs w:val="32"/>
        </w:rPr>
      </w:pPr>
      <w:r>
        <w:rPr>
          <w:rFonts w:hint="eastAsia" w:ascii="黑体" w:hAnsi="黑体" w:eastAsia="黑体" w:cs="黑体"/>
          <w:sz w:val="32"/>
          <w:szCs w:val="32"/>
        </w:rPr>
        <w:t>一、专业名称及代码</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1.专业名称：物流服务与管理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2.专业代码：7</w:t>
      </w:r>
      <w:r>
        <w:rPr>
          <w:rFonts w:ascii="仿宋_GB2312" w:hAnsi="仿宋_GB2312" w:eastAsia="仿宋_GB2312" w:cs="仿宋_GB2312"/>
          <w:sz w:val="32"/>
          <w:szCs w:val="32"/>
        </w:rPr>
        <w:t>30801</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0" w:firstLineChars="200"/>
        <w:jc w:val="left"/>
        <w:textAlignment w:val="auto"/>
        <w:rPr>
          <w:rFonts w:ascii="黑体" w:hAnsi="黑体" w:eastAsia="黑体" w:cs="黑体"/>
          <w:sz w:val="32"/>
          <w:szCs w:val="32"/>
        </w:rPr>
      </w:pPr>
      <w:r>
        <w:rPr>
          <w:rFonts w:hint="eastAsia" w:ascii="黑体" w:hAnsi="黑体" w:eastAsia="黑体" w:cs="黑体"/>
          <w:sz w:val="32"/>
          <w:szCs w:val="32"/>
        </w:rPr>
        <w:t>二、入学要求</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ascii="黑体" w:hAnsi="黑体" w:eastAsia="黑体" w:cs="黑体"/>
          <w:sz w:val="32"/>
          <w:szCs w:val="32"/>
        </w:rPr>
      </w:pPr>
      <w:r>
        <w:rPr>
          <w:rFonts w:hint="eastAsia" w:ascii="黑体" w:hAnsi="黑体" w:eastAsia="黑体" w:cs="黑体"/>
          <w:sz w:val="32"/>
          <w:szCs w:val="32"/>
        </w:rPr>
        <w:t>三、修业年限</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0" w:firstLineChars="200"/>
        <w:jc w:val="left"/>
        <w:textAlignment w:val="auto"/>
        <w:rPr>
          <w:rFonts w:ascii="黑体" w:hAnsi="黑体" w:eastAsia="黑体" w:cs="黑体"/>
          <w:sz w:val="32"/>
          <w:szCs w:val="32"/>
        </w:rPr>
      </w:pPr>
      <w:r>
        <w:rPr>
          <w:rFonts w:hint="eastAsia" w:ascii="仿宋_GB2312" w:hAnsi="仿宋_GB2312" w:eastAsia="仿宋_GB2312" w:cs="仿宋_GB2312"/>
          <w:sz w:val="32"/>
          <w:szCs w:val="32"/>
        </w:rPr>
        <w:t>3年</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0" w:firstLineChars="200"/>
        <w:jc w:val="left"/>
        <w:textAlignment w:val="auto"/>
        <w:rPr>
          <w:rFonts w:ascii="黑体" w:hAnsi="黑体" w:eastAsia="黑体" w:cs="黑体"/>
          <w:sz w:val="32"/>
          <w:szCs w:val="32"/>
        </w:rPr>
      </w:pPr>
      <w:r>
        <w:rPr>
          <w:rFonts w:hint="eastAsia" w:ascii="黑体" w:hAnsi="黑体" w:eastAsia="黑体" w:cs="黑体"/>
          <w:sz w:val="32"/>
          <w:szCs w:val="32"/>
        </w:rPr>
        <w:t>四、职业面向</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面向仓储管理员、物流服务师、智能物流设备操作员等岗位（群）。</w:t>
      </w:r>
    </w:p>
    <w:p>
      <w:pPr>
        <w:pStyle w:val="13"/>
        <w:adjustRightInd w:val="0"/>
        <w:snapToGrid w:val="0"/>
        <w:spacing w:before="0" w:beforeAutospacing="0" w:after="0" w:afterAutospacing="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rPr>
        <w:t xml:space="preserve">  表1：职业面向信息表</w:t>
      </w:r>
    </w:p>
    <w:tbl>
      <w:tblPr>
        <w:tblStyle w:val="16"/>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275"/>
        <w:gridCol w:w="1425"/>
        <w:gridCol w:w="1665"/>
        <w:gridCol w:w="3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trPr>
        <w:tc>
          <w:tcPr>
            <w:tcW w:w="1238" w:type="dxa"/>
            <w:vAlign w:val="center"/>
          </w:tcPr>
          <w:p>
            <w:pPr>
              <w:spacing w:line="240" w:lineRule="exact"/>
              <w:jc w:val="center"/>
              <w:rPr>
                <w:rFonts w:ascii="黑体" w:hAnsi="黑体" w:eastAsia="黑体" w:cs="仿宋_GB2312"/>
                <w:szCs w:val="21"/>
              </w:rPr>
            </w:pPr>
            <w:r>
              <w:rPr>
                <w:rFonts w:hint="eastAsia" w:ascii="黑体" w:hAnsi="黑体" w:eastAsia="黑体" w:cs="仿宋_GB2312"/>
                <w:szCs w:val="21"/>
              </w:rPr>
              <w:t>专业大类</w:t>
            </w:r>
          </w:p>
          <w:p>
            <w:pPr>
              <w:spacing w:line="240" w:lineRule="exact"/>
              <w:jc w:val="center"/>
              <w:rPr>
                <w:rFonts w:ascii="黑体" w:hAnsi="黑体" w:eastAsia="黑体" w:cs="仿宋_GB2312"/>
                <w:szCs w:val="21"/>
              </w:rPr>
            </w:pPr>
            <w:r>
              <w:rPr>
                <w:rFonts w:hint="eastAsia" w:ascii="黑体" w:hAnsi="黑体" w:eastAsia="黑体" w:cs="仿宋_GB2312"/>
                <w:szCs w:val="21"/>
              </w:rPr>
              <w:t>（代码）</w:t>
            </w:r>
          </w:p>
        </w:tc>
        <w:tc>
          <w:tcPr>
            <w:tcW w:w="1275" w:type="dxa"/>
            <w:vAlign w:val="center"/>
          </w:tcPr>
          <w:p>
            <w:pPr>
              <w:spacing w:line="240" w:lineRule="exact"/>
              <w:jc w:val="center"/>
              <w:rPr>
                <w:rFonts w:ascii="黑体" w:hAnsi="黑体" w:eastAsia="黑体" w:cs="仿宋_GB2312"/>
                <w:szCs w:val="21"/>
              </w:rPr>
            </w:pPr>
            <w:r>
              <w:rPr>
                <w:rFonts w:hint="eastAsia" w:ascii="黑体" w:hAnsi="黑体" w:eastAsia="黑体" w:cs="仿宋_GB2312"/>
                <w:szCs w:val="21"/>
              </w:rPr>
              <w:t>对应行业</w:t>
            </w:r>
          </w:p>
          <w:p>
            <w:pPr>
              <w:spacing w:line="240" w:lineRule="exact"/>
              <w:jc w:val="center"/>
              <w:rPr>
                <w:rFonts w:ascii="黑体" w:hAnsi="黑体" w:eastAsia="黑体" w:cs="仿宋_GB2312"/>
                <w:szCs w:val="21"/>
              </w:rPr>
            </w:pPr>
            <w:r>
              <w:rPr>
                <w:rFonts w:hint="eastAsia" w:ascii="黑体" w:hAnsi="黑体" w:eastAsia="黑体" w:cs="仿宋_GB2312"/>
                <w:szCs w:val="21"/>
              </w:rPr>
              <w:t>（代码）</w:t>
            </w:r>
          </w:p>
        </w:tc>
        <w:tc>
          <w:tcPr>
            <w:tcW w:w="1425" w:type="dxa"/>
            <w:vAlign w:val="center"/>
          </w:tcPr>
          <w:p>
            <w:pPr>
              <w:spacing w:line="240" w:lineRule="exact"/>
              <w:jc w:val="center"/>
              <w:rPr>
                <w:rFonts w:ascii="黑体" w:hAnsi="黑体" w:eastAsia="黑体" w:cs="仿宋_GB2312"/>
                <w:szCs w:val="21"/>
              </w:rPr>
            </w:pPr>
            <w:r>
              <w:rPr>
                <w:rFonts w:hint="eastAsia" w:ascii="黑体" w:hAnsi="黑体" w:eastAsia="黑体" w:cs="仿宋_GB2312"/>
                <w:szCs w:val="21"/>
              </w:rPr>
              <w:t>职业类别</w:t>
            </w:r>
          </w:p>
          <w:p>
            <w:pPr>
              <w:spacing w:line="240" w:lineRule="exact"/>
              <w:jc w:val="center"/>
              <w:rPr>
                <w:rFonts w:ascii="黑体" w:hAnsi="黑体" w:eastAsia="黑体" w:cs="仿宋_GB2312"/>
                <w:szCs w:val="21"/>
              </w:rPr>
            </w:pPr>
            <w:r>
              <w:rPr>
                <w:rFonts w:hint="eastAsia" w:ascii="黑体" w:hAnsi="黑体" w:eastAsia="黑体" w:cs="仿宋_GB2312"/>
                <w:szCs w:val="21"/>
              </w:rPr>
              <w:t>（代码）</w:t>
            </w:r>
          </w:p>
        </w:tc>
        <w:tc>
          <w:tcPr>
            <w:tcW w:w="1665" w:type="dxa"/>
            <w:vAlign w:val="center"/>
          </w:tcPr>
          <w:p>
            <w:pPr>
              <w:spacing w:line="240" w:lineRule="exact"/>
              <w:jc w:val="center"/>
              <w:rPr>
                <w:rFonts w:ascii="黑体" w:hAnsi="黑体" w:eastAsia="黑体" w:cs="仿宋_GB2312"/>
                <w:szCs w:val="21"/>
              </w:rPr>
            </w:pPr>
            <w:r>
              <w:rPr>
                <w:rFonts w:hint="eastAsia" w:ascii="黑体" w:hAnsi="黑体" w:eastAsia="黑体" w:cs="仿宋_GB2312"/>
                <w:szCs w:val="21"/>
              </w:rPr>
              <w:t>主要岗位</w:t>
            </w:r>
          </w:p>
        </w:tc>
        <w:tc>
          <w:tcPr>
            <w:tcW w:w="3735" w:type="dxa"/>
            <w:vAlign w:val="center"/>
          </w:tcPr>
          <w:p>
            <w:pPr>
              <w:spacing w:line="240" w:lineRule="exact"/>
              <w:jc w:val="center"/>
              <w:rPr>
                <w:rFonts w:ascii="黑体" w:hAnsi="黑体" w:eastAsia="黑体" w:cs="仿宋_GB2312"/>
                <w:szCs w:val="21"/>
              </w:rPr>
            </w:pPr>
            <w:r>
              <w:rPr>
                <w:rFonts w:hint="eastAsia" w:ascii="黑体" w:hAnsi="黑体" w:eastAsia="黑体" w:cs="仿宋_GB2312"/>
                <w:szCs w:val="21"/>
              </w:rPr>
              <w:t>职业资格证书或</w:t>
            </w:r>
          </w:p>
          <w:p>
            <w:pPr>
              <w:spacing w:line="240" w:lineRule="exact"/>
              <w:jc w:val="center"/>
              <w:rPr>
                <w:rFonts w:ascii="黑体" w:hAnsi="黑体" w:eastAsia="黑体" w:cs="仿宋_GB2312"/>
                <w:szCs w:val="21"/>
              </w:rPr>
            </w:pPr>
            <w:r>
              <w:rPr>
                <w:rFonts w:hint="eastAsia" w:ascii="黑体" w:hAnsi="黑体" w:eastAsia="黑体" w:cs="仿宋_GB2312"/>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exact"/>
        </w:trPr>
        <w:tc>
          <w:tcPr>
            <w:tcW w:w="1238"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财经商贸</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3</w:t>
            </w:r>
            <w:r>
              <w:rPr>
                <w:rFonts w:hint="eastAsia" w:ascii="仿宋_GB2312" w:hAnsi="仿宋_GB2312" w:eastAsia="仿宋_GB2312" w:cs="仿宋_GB2312"/>
                <w:szCs w:val="21"/>
              </w:rPr>
              <w:t>）</w:t>
            </w:r>
          </w:p>
        </w:tc>
        <w:tc>
          <w:tcPr>
            <w:tcW w:w="127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装卸搬运和仓储业</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（G</w:t>
            </w:r>
            <w:r>
              <w:rPr>
                <w:rFonts w:ascii="仿宋_GB2312" w:hAnsi="仿宋_GB2312" w:eastAsia="仿宋_GB2312" w:cs="仿宋_GB2312"/>
                <w:szCs w:val="21"/>
              </w:rPr>
              <w:t>60</w:t>
            </w:r>
            <w:r>
              <w:rPr>
                <w:rFonts w:hint="eastAsia" w:ascii="仿宋_GB2312" w:hAnsi="仿宋_GB2312" w:eastAsia="仿宋_GB2312" w:cs="仿宋_GB2312"/>
                <w:szCs w:val="21"/>
              </w:rPr>
              <w:t>)</w:t>
            </w:r>
          </w:p>
        </w:tc>
        <w:tc>
          <w:tcPr>
            <w:tcW w:w="142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仓储物流</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服务人员</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r>
              <w:rPr>
                <w:rFonts w:ascii="仿宋_GB2312" w:hAnsi="仿宋_GB2312" w:eastAsia="仿宋_GB2312" w:cs="仿宋_GB2312"/>
                <w:szCs w:val="21"/>
              </w:rPr>
              <w:t>02</w:t>
            </w:r>
            <w:r>
              <w:rPr>
                <w:rFonts w:hint="eastAsia" w:ascii="仿宋_GB2312" w:hAnsi="仿宋_GB2312" w:eastAsia="仿宋_GB2312" w:cs="仿宋_GB2312"/>
                <w:szCs w:val="21"/>
              </w:rPr>
              <w:t>-0</w:t>
            </w:r>
            <w:r>
              <w:rPr>
                <w:rFonts w:ascii="仿宋_GB2312" w:hAnsi="仿宋_GB2312" w:eastAsia="仿宋_GB2312" w:cs="仿宋_GB2312"/>
                <w:szCs w:val="21"/>
              </w:rPr>
              <w:t>6</w:t>
            </w:r>
            <w:r>
              <w:rPr>
                <w:rFonts w:hint="eastAsia" w:ascii="仿宋_GB2312" w:hAnsi="仿宋_GB2312" w:eastAsia="仿宋_GB2312" w:cs="仿宋_GB2312"/>
                <w:szCs w:val="21"/>
              </w:rPr>
              <w:t>）</w:t>
            </w:r>
          </w:p>
        </w:tc>
        <w:tc>
          <w:tcPr>
            <w:tcW w:w="166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仓储管理员</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物流服务师</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供应链管理师等岗位</w:t>
            </w:r>
          </w:p>
        </w:tc>
        <w:tc>
          <w:tcPr>
            <w:tcW w:w="373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物流管理职业技能等级证书（初级）</w:t>
            </w:r>
          </w:p>
          <w:p>
            <w:pPr>
              <w:spacing w:line="320" w:lineRule="exact"/>
              <w:ind w:left="21" w:leftChars="10" w:right="21" w:rightChars="10"/>
              <w:jc w:val="center"/>
              <w:rPr>
                <w:rFonts w:ascii="仿宋_GB2312" w:hAnsi="仿宋_GB2312" w:eastAsia="仿宋_GB2312" w:cs="仿宋_GB2312"/>
                <w:szCs w:val="21"/>
              </w:rPr>
            </w:pPr>
            <w:r>
              <w:rPr>
                <w:rFonts w:hint="eastAsia" w:ascii="仿宋_GB2312" w:hAnsi="仿宋_GB2312" w:eastAsia="仿宋_GB2312" w:cs="仿宋_GB2312"/>
                <w:szCs w:val="21"/>
              </w:rPr>
              <w:t>物流服务师职业技能等级证书（三级）</w:t>
            </w:r>
          </w:p>
        </w:tc>
      </w:tr>
    </w:tbl>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w:t>
      </w:r>
      <w:r>
        <w:rPr>
          <w:rFonts w:hint="eastAsia" w:ascii="黑体" w:hAnsi="黑体" w:eastAsia="黑体" w:cs="黑体"/>
          <w:sz w:val="32"/>
          <w:szCs w:val="32"/>
        </w:rPr>
        <mc:AlternateContent>
          <mc:Choice Requires="wps">
            <w:drawing>
              <wp:anchor distT="0" distB="0" distL="114300" distR="114300" simplePos="0" relativeHeight="251688960"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8960;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sz w:val="32"/>
          <w:szCs w:val="32"/>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2"/>
                    <a:stretch>
                      <a:fillRect/>
                    </a:stretch>
                  </pic:blipFill>
                  <pic:spPr>
                    <a:xfrm>
                      <a:off x="0" y="0"/>
                      <a:ext cx="1777" cy="141414"/>
                    </a:xfrm>
                    <a:prstGeom prst="rect">
                      <a:avLst/>
                    </a:prstGeom>
                  </pic:spPr>
                </pic:pic>
              </a:graphicData>
            </a:graphic>
          </wp:inline>
        </w:drawing>
      </w:r>
      <w:r>
        <w:rPr>
          <w:rFonts w:hint="eastAsia" w:ascii="黑体" w:hAnsi="黑体" w:eastAsia="黑体" w:cs="黑体"/>
          <w:sz w:val="32"/>
          <w:szCs w:val="32"/>
        </w:rPr>
        <w:t>接续专业</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接续高职专科专业：现代物流管理</w:t>
      </w:r>
    </w:p>
    <w:p>
      <w:pPr>
        <w:adjustRightInd w:val="0"/>
        <w:snapToGrid w:val="0"/>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接续高职本科专业：物流管理</w:t>
      </w:r>
    </w:p>
    <w:p>
      <w:pPr>
        <w:pStyle w:val="13"/>
        <w:adjustRightInd w:val="0"/>
        <w:snapToGrid w:val="0"/>
        <w:spacing w:before="0" w:beforeAutospacing="0" w:after="0" w:afterAutospacing="0" w:line="560" w:lineRule="exact"/>
        <w:ind w:firstLine="640" w:firstLineChars="200"/>
        <w:rPr>
          <w:rFonts w:hint="eastAsia" w:ascii="黑体" w:hAnsi="黑体" w:eastAsia="黑体" w:cs="黑体"/>
          <w:sz w:val="32"/>
          <w:szCs w:val="32"/>
        </w:rPr>
      </w:pPr>
    </w:p>
    <w:p>
      <w:pPr>
        <w:pStyle w:val="13"/>
        <w:adjustRightInd w:val="0"/>
        <w:snapToGrid w:val="0"/>
        <w:spacing w:before="0" w:beforeAutospacing="0" w:after="0" w:afterAutospacing="0" w:line="560" w:lineRule="exact"/>
        <w:ind w:firstLine="640" w:firstLineChars="200"/>
        <w:rPr>
          <w:rFonts w:ascii="楷体_GB2312" w:hAnsi="仿宋_GB2312" w:eastAsia="楷体_GB2312" w:cs="仿宋_GB2312"/>
          <w:sz w:val="32"/>
          <w:szCs w:val="32"/>
        </w:rPr>
      </w:pPr>
      <w:r>
        <w:rPr>
          <w:rFonts w:hint="eastAsia" w:ascii="黑体" w:hAnsi="黑体" w:eastAsia="黑体" w:cs="黑体"/>
          <w:sz w:val="32"/>
          <w:szCs w:val="32"/>
        </w:rPr>
        <w:t>六、培养目标与培养规格</w:t>
      </w:r>
    </w:p>
    <w:p>
      <w:pPr>
        <w:widowControl/>
        <w:shd w:val="clear" w:color="auto" w:fill="FFFFFF"/>
        <w:spacing w:line="560" w:lineRule="exact"/>
        <w:ind w:firstLine="640" w:firstLineChars="200"/>
        <w:jc w:val="left"/>
        <w:rPr>
          <w:rFonts w:ascii="楷体" w:hAnsi="楷体" w:eastAsia="楷体" w:cs="楷体"/>
          <w:kern w:val="0"/>
          <w:sz w:val="32"/>
          <w:szCs w:val="32"/>
          <w:shd w:val="clear" w:color="auto" w:fill="FFFFFF"/>
          <w:lang w:bidi="ar"/>
        </w:rPr>
      </w:pPr>
      <w:r>
        <w:rPr>
          <w:rFonts w:hint="eastAsia" w:ascii="楷体" w:hAnsi="楷体" w:eastAsia="楷体" w:cs="楷体"/>
          <w:sz w:val="32"/>
          <w:szCs w:val="32"/>
        </w:rPr>
        <w:t xml:space="preserve"> </w:t>
      </w:r>
      <w:r>
        <w:rPr>
          <w:rFonts w:hint="eastAsia" w:ascii="楷体" w:hAnsi="楷体" w:eastAsia="楷体" w:cs="楷体"/>
          <w:kern w:val="0"/>
          <w:sz w:val="32"/>
          <w:szCs w:val="32"/>
          <w:shd w:val="clear" w:color="auto" w:fill="FFFFFF"/>
          <w:lang w:bidi="ar"/>
        </w:rPr>
        <w:t>（一）培养目标</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物流职业活动、信息技术、物流业务运营、供应链发展、物流设备维护等专业知识；具备仓储、配送作业优化、物流项目运营、操作物流常用设备、物流信息处理等能力，面向交通运输、仓储、物流服务职业的仓储管理员、理货员、智能物流设备操作员、快递员等岗位上，能够从事物流仓储、配送、运输业务操作、物流设备运维、货运代理的高素质技术技能人才。</w:t>
      </w:r>
    </w:p>
    <w:p>
      <w:pPr>
        <w:widowControl/>
        <w:shd w:val="clear" w:color="auto" w:fill="FFFFFF"/>
        <w:spacing w:line="560" w:lineRule="exact"/>
        <w:ind w:firstLine="640" w:firstLineChars="200"/>
        <w:jc w:val="left"/>
        <w:rPr>
          <w:rFonts w:ascii="楷体" w:hAnsi="楷体" w:eastAsia="楷体" w:cs="楷体"/>
          <w:sz w:val="32"/>
          <w:szCs w:val="32"/>
        </w:rPr>
      </w:pPr>
      <w:r>
        <w:rPr>
          <w:rFonts w:hint="eastAsia" w:ascii="楷体" w:hAnsi="楷体" w:eastAsia="楷体" w:cs="楷体"/>
          <w:kern w:val="0"/>
          <w:sz w:val="32"/>
          <w:szCs w:val="32"/>
          <w:shd w:val="clear" w:color="auto" w:fill="FFFFFF"/>
          <w:lang w:bidi="ar"/>
        </w:rPr>
        <w:t>（二）培养规格</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1.素质要求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（2）崇尚宪法、遵法守纪、崇德向善、诚实守信、尊重生命、热爱劳动，履行道德准则和法律规范，具有社会责任感和社会参与意识。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（3）具有良好的职业道德和职业素养。崇德向善、诚实守信、爱岗敬业、具有精益求精德工匠精神；尊重劳动、热爱劳动、具有较强德实践能力。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（4）具有较强的人际交往能力，沟通协调能力，团队合作精神、创新和服务意识。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（5）具有质量意识、绿色环保意识、安全意识、信息素养、创新精神，文明生产意识，严格遵守操作规程。</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（6）具有良好的身心素质和人文素养，具有健康的体魄和心理、健全的人格，能够掌握基本运动技能，具有感受美、表现美、鉴赏美、创造美的能力。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（7）具有良好的生活习惯、行为习惯和自我管理能力，具有职业生涯规划意识和可持续发展能力。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2.知识要求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（1）掌握中等职业学校学生必备的思想政治、语文、数学、英语、信息技术、艺术、体育与健康和中华优秀传统文化等知识。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（2）熟悉与本专业相关的法律法规以及环境保护、安全消防和安全防护等知识。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（3）了解智慧物流、供应链的发展，熟悉物流业态，了解物流企业的组织结构与人才需求。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（4）了解物流业务运营的基本流程和工作方法，掌握营销与商务沟通的基本知识，熟悉客户关系管理，掌握处理客户投诉技巧。</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（5）掌握仓储、配送、包装与运输作业各环节的作业流程与操作技能，能根据工作任务进行分析与优化。</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（6）理解国际贸易术语，掌握货运代理业务操作流与技能，能够进行单证缮制、报关报检。</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（7）掌握常用物流设备、智能物流设备与无人机的操作使用、日常维护及保养技术。</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（8）能利用数据分析软件进行数据处理分析；理解物流各环节成本构成，会计算费用。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3.能力要求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（1）具备合作探究、终身学习、分析和解决问题能力。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（2）具备良好的语言文字表达能力和沟通能力。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（3）具备本专业必需的信息技术应用和维护能力。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（4）具备物流业务承揽、流程操作、结算的能力；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（5）具备仓储、配送作业优化、实施、安全管理、异常情况处理的能力；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（6）具备运输作业优化及实施能力，能够合理选择运输方式、实施配载与调度车辆、规划最优配送路线的能力；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（7）具备缮制各种国际货代业务单证，能根据客户要求，进行国际海运、陆运、空运业务操作的能力；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（8）具备操作物流常用设备和应用物流信息系统收集、处理数据的数字能力；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（9）理解物流项目的运营，具备客户开发、维护与管理的能力；</w:t>
      </w:r>
    </w:p>
    <w:p>
      <w:pPr>
        <w:adjustRightInd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七、课程结构框架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pPr>
        <w:adjustRightInd w:val="0"/>
        <w:snapToGrid w:val="0"/>
        <w:spacing w:line="580" w:lineRule="exact"/>
        <w:ind w:firstLine="560" w:firstLineChars="200"/>
        <w:rPr>
          <w:rFonts w:ascii="仿宋" w:hAnsi="仿宋" w:eastAsia="仿宋" w:cs="仿宋"/>
          <w:sz w:val="28"/>
          <w:szCs w:val="28"/>
        </w:rPr>
        <w:sectPr>
          <w:footerReference r:id="rId6" w:type="default"/>
          <w:pgSz w:w="11907" w:h="16840"/>
          <w:pgMar w:top="2041" w:right="1531" w:bottom="1985" w:left="1531" w:header="851" w:footer="1644" w:gutter="0"/>
          <w:pgNumType w:fmt="numberInDash" w:start="1"/>
          <w:cols w:space="425" w:num="1"/>
          <w:docGrid w:type="lines" w:linePitch="435" w:charSpace="-6554"/>
        </w:sectPr>
      </w:pPr>
    </w:p>
    <w:p>
      <w:pPr>
        <w:adjustRightInd w:val="0"/>
        <w:snapToGrid w:val="0"/>
        <w:spacing w:line="580" w:lineRule="exact"/>
        <w:jc w:val="center"/>
        <w:rPr>
          <w:rFonts w:ascii="黑体" w:hAnsi="黑体" w:eastAsia="黑体" w:cs="黑体"/>
          <w:b/>
          <w:bCs/>
          <w:sz w:val="28"/>
          <w:szCs w:val="28"/>
        </w:rPr>
      </w:pPr>
      <w:r>
        <w:rPr>
          <w:rFonts w:hint="eastAsia" w:ascii="黑体" w:hAnsi="黑体" w:eastAsia="黑体" w:cs="黑体"/>
          <w:b/>
          <w:bCs/>
          <w:kern w:val="0"/>
          <w:sz w:val="28"/>
          <w:szCs w:val="28"/>
        </w:rPr>
        <w:t>物流服务与管理专业课程体系</w:t>
      </w:r>
    </w:p>
    <w:p>
      <w:pPr>
        <w:adjustRightInd w:val="0"/>
        <w:snapToGrid w:val="0"/>
        <w:spacing w:line="580" w:lineRule="exact"/>
        <w:rPr>
          <w:rFonts w:ascii="仿宋" w:hAnsi="仿宋" w:eastAsia="仿宋" w:cs="仿宋"/>
          <w:sz w:val="28"/>
          <w:szCs w:val="28"/>
        </w:rPr>
      </w:pPr>
      <w:r>
        <w:rPr>
          <w:sz w:val="32"/>
        </w:rPr>
        <mc:AlternateContent>
          <mc:Choice Requires="wps">
            <w:drawing>
              <wp:anchor distT="0" distB="0" distL="114300" distR="114300" simplePos="0" relativeHeight="251670528" behindDoc="0" locked="0" layoutInCell="1" allowOverlap="1">
                <wp:simplePos x="0" y="0"/>
                <wp:positionH relativeFrom="column">
                  <wp:posOffset>-466090</wp:posOffset>
                </wp:positionH>
                <wp:positionV relativeFrom="paragraph">
                  <wp:posOffset>361315</wp:posOffset>
                </wp:positionV>
                <wp:extent cx="602615" cy="2573655"/>
                <wp:effectExtent l="9525" t="9525" r="16510" b="26670"/>
                <wp:wrapNone/>
                <wp:docPr id="28" name="矩形 28"/>
                <wp:cNvGraphicFramePr/>
                <a:graphic xmlns:a="http://schemas.openxmlformats.org/drawingml/2006/main">
                  <a:graphicData uri="http://schemas.microsoft.com/office/word/2010/wordprocessingShape">
                    <wps:wsp>
                      <wps:cNvSpPr/>
                      <wps:spPr>
                        <a:xfrm>
                          <a:off x="794385" y="1292860"/>
                          <a:ext cx="602615" cy="2573655"/>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8.45pt;height:202.65pt;width:47.45pt;z-index:251670528;v-text-anchor:middle;mso-width-relative:page;mso-height-relative:page;" fillcolor="#92D050" filled="t" stroked="t" coordsize="21600,21600" o:gfxdata="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58dCu2gAAAAkBAAAPAAAAAAAAAAEAIAAAACIA&#10;AABkcnMvZG93bnJldi54bWxQSwECFAAUAAAACACHTuJAYSk4jbICAABzBQAADgAAAAAAAAABACAA&#10;AAApAQAAZHJzL2Uyb0RvYy54bWxQSwUGAAAAAAYABgBZAQAATQY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v:textbox>
              </v:rect>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2733040</wp:posOffset>
                </wp:positionH>
                <wp:positionV relativeFrom="paragraph">
                  <wp:posOffset>255270</wp:posOffset>
                </wp:positionV>
                <wp:extent cx="1026795" cy="536575"/>
                <wp:effectExtent l="0" t="0" r="20955" b="15875"/>
                <wp:wrapNone/>
                <wp:docPr id="2052184722" name="矩形 1"/>
                <wp:cNvGraphicFramePr/>
                <a:graphic xmlns:a="http://schemas.openxmlformats.org/drawingml/2006/main">
                  <a:graphicData uri="http://schemas.microsoft.com/office/word/2010/wordprocessingShape">
                    <wps:wsp>
                      <wps:cNvSpPr/>
                      <wps:spPr>
                        <a:xfrm>
                          <a:off x="0" y="0"/>
                          <a:ext cx="1026795" cy="536838"/>
                        </a:xfrm>
                        <a:prstGeom prst="rect">
                          <a:avLst/>
                        </a:prstGeom>
                        <a:noFill/>
                        <a:ln w="19050" cap="flat" cmpd="sng" algn="ctr">
                          <a:solidFill>
                            <a:srgbClr val="4F81BD">
                              <a:shade val="15000"/>
                            </a:srgbClr>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15.2pt;margin-top:20.1pt;height:42.25pt;width:80.85pt;z-index:251700224;v-text-anchor:middle;mso-width-relative:page;mso-height-relative:page;" filled="f" stroked="t" coordsize="21600,21600" o:gfxdata="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Cv9TO2gAAAAoBAAAPAAAA&#10;AAAAAAEAIAAAACIAAABkcnMvZG93bnJldi54bWxQSwECFAAUAAAACACHTuJAi/JrVIUCAAD3BAAA&#10;DgAAAAAAAAABACAAAAApAQAAZHJzL2Uyb0RvYy54bWxQSwUGAAAAAAYABgBZAQAAIAYAAAAA&#10;">
                <v:fill on="f" focussize="0,0"/>
                <v:stroke weight="1.5pt" color="#1C334E" joinstyle="round"/>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物流作业任务优化</w:t>
                            </w:r>
                          </w:p>
                          <w:p>
                            <w:pPr>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94080;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9N&#10;qtcAAAAJAQAADwAAAAAAAAABACAAAAAiAAAAZHJzL2Rvd25yZXYueG1sUEsBAhQAFAAAAAgAh07i&#10;QN+59BW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物流作业任务优化</w:t>
                      </w:r>
                    </w:p>
                    <w:p>
                      <w:pPr>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综合实训</w:t>
                      </w:r>
                    </w:p>
                  </w:txbxContent>
                </v:textbox>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9984;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9744;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rgbClr val="FFC000"/>
                          </a:solidFill>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5648;v-text-anchor:middle;mso-width-relative:page;mso-height-relative:page;" fillcolor="#30C04F" filled="t" stroked="t" coordsize="21600,21600" o:gfxdata="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GXvOBNsAAAAKAQAADwAAAAAAAAABACAAAAAiAAAAZHJzL2Rvd25y&#10;ZXYueG1sUEsBAhQAFAAAAAgAh07iQBna0+SmAgAAYgUAAA4AAAAAAAAAAQAgAAAAKgEAAGRycy9l&#10;Mm9Eb2MueG1sUEsFBgAAAAAGAAYAWQEAAEIGAAAAAA==&#10;">
                <v:fill type="gradient" on="t" color2="#30C0B4" angle="45" focus="100%" focussize="0,0" rotate="t">
                  <o:fill type="gradientUnscaled" v:ext="backwardCompatible"/>
                </v:fill>
                <v:stroke weight="1.5pt" color="#FFC000"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ysClr val="windowText" lastClr="000000"/>
                          </a:solidFill>
                        </a:ln>
                        <a:effectLst/>
                      </wps:spPr>
                      <wps:txb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91008;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tvaR+1wAAAAoBAAAPAAAAAAAAAAEAIAAAACIAAABkcnMvZG93bnJldi54&#10;bWxQSwECFAAUAAAACACHTuJA0tPJsaYCAABqBQAADgAAAAAAAAABACAAAAAmAQAAZHJzL2Uyb0Rv&#10;Yy54bWxQSwUGAAAAAAYABgBZAQAAPgYAAAAA&#10;">
                <v:fill type="gradient" on="t" color2="#30C0B4" angle="45" focus="100%" focussize="0,0" rotate="t">
                  <o:fill type="gradientUnscaled" v:ext="backwardCompatible"/>
                </v:fill>
                <v:stroke weight="1.5pt" color="#000000"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93056;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v:textbox>
              </v:shape>
            </w:pict>
          </mc:Fallback>
        </mc:AlternateContent>
      </w:r>
      <w:r>
        <w:rPr>
          <w:sz w:val="28"/>
        </w:rPr>
        <mc:AlternateContent>
          <mc:Choice Requires="wps">
            <w:drawing>
              <wp:anchor distT="0" distB="0" distL="114300" distR="114300" simplePos="0" relativeHeight="251687936"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7936;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2336;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rgbClr val="C0504D">
                            <a:lumMod val="20000"/>
                            <a:lumOff val="80000"/>
                          </a:srgbClr>
                        </a:solidFill>
                        <a:ln w="19050" cap="flat" cmpd="sng" algn="ctr">
                          <a:solidFill>
                            <a:srgbClr val="2E54A1">
                              <a:lumMod val="75000"/>
                            </a:srgbClr>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4624;v-text-anchor:middle;mso-width-relative:page;mso-height-relative:page;" fillcolor="#F2DCDB" filled="t" stroked="t" coordsize="21600,21600" o:gfxdata="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rDMFQ1wAAAAkBAAAPAAAAAAAAAAEAIAAAACIAAABkcnMvZG93&#10;bnJldi54bWxQSwECFAAUAAAACACHTuJAcylkOKwCAAB2BQAADgAAAAAAAAABACAAAAAmAQAAZHJz&#10;L2Uyb0RvYy54bWxQSwUGAAAAAAYABgBZAQAARAYAAAAA&#10;">
                <v:fill on="t" focussize="0,0"/>
                <v:stroke weight="1.5pt" color="#233F79"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p>
    <w:p>
      <w:pPr>
        <w:tabs>
          <w:tab w:val="left" w:pos="6089"/>
        </w:tabs>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691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691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现代物流综合作业实训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95104;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lrX&#10;1gAAAAoBAAAPAAAAAAAAAAEAIAAAACIAAABkcnMvZG93bnJldi54bWxQSwECFAAUAAAACACHTuJA&#10;Ttzxp5UCAABUBQAADgAAAAAAAAABACAAAAAlAQAAZHJzL2Uyb0RvYy54bWxQSwUGAAAAAAYABgBZ&#10;AQAALAYAAAAA&#10;">
                <v:fill type="gradient" on="t" color2="#30C0B4" angle="45" focus="100%" focussize="0,0" rotate="t">
                  <o:fill type="gradientUnscaled" v:ext="backwardCompatible"/>
                </v:fill>
                <v:stroke weight="1.5pt" color="#000000" joinstyle="round"/>
                <v:imagedata o:title=""/>
                <o:lock v:ext="edit" aspectratio="f"/>
                <v:textbox>
                  <w:txbxContent>
                    <w:p>
                      <w:pPr>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现代物流综合作业实训</w:t>
                      </w:r>
                    </w:p>
                  </w:txbxContent>
                </v:textbox>
              </v:rect>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82816;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sz w:val="28"/>
          <w:szCs w:val="28"/>
        </w:rPr>
        <w:tab/>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2032" behindDoc="0" locked="0" layoutInCell="1" allowOverlap="1">
                <wp:simplePos x="0" y="0"/>
                <wp:positionH relativeFrom="column">
                  <wp:posOffset>629285</wp:posOffset>
                </wp:positionH>
                <wp:positionV relativeFrom="paragraph">
                  <wp:posOffset>343535</wp:posOffset>
                </wp:positionV>
                <wp:extent cx="1160780" cy="498475"/>
                <wp:effectExtent l="9525" t="9525" r="10795" b="25400"/>
                <wp:wrapNone/>
                <wp:docPr id="1993331031" name="矩形 1993331031"/>
                <wp:cNvGraphicFramePr/>
                <a:graphic xmlns:a="http://schemas.openxmlformats.org/drawingml/2006/main">
                  <a:graphicData uri="http://schemas.microsoft.com/office/word/2010/wordprocessingShape">
                    <wps:wsp>
                      <wps:cNvSpPr/>
                      <wps:spPr>
                        <a:xfrm>
                          <a:off x="0" y="0"/>
                          <a:ext cx="1160780" cy="498475"/>
                        </a:xfrm>
                        <a:prstGeom prst="rect">
                          <a:avLst/>
                        </a:prstGeom>
                        <a:solidFill>
                          <a:srgbClr val="C0504D">
                            <a:lumMod val="20000"/>
                            <a:lumOff val="80000"/>
                          </a:srgbClr>
                        </a:solidFill>
                        <a:ln w="19050" cap="flat" cmpd="sng" algn="ctr">
                          <a:solidFill>
                            <a:srgbClr val="FFFFFF"/>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55pt;margin-top:27.05pt;height:39.25pt;width:91.4pt;z-index:251692032;v-text-anchor:middle;mso-width-relative:page;mso-height-relative:page;" fillcolor="#F2DCDB" filled="t" stroked="t" coordsize="21600,21600" o:gfxdata="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YAzXZAAAACQEAAA8AAAAAAAAAAQAgAAAAIgAAAGRycy9kb3ducmV2Lnht&#10;bFBLAQIUABQAAAAIAIdO4kCoe7JRowIAAFgFAAAOAAAAAAAAAAEAIAAAACgBAABkcnMvZTJvRG9j&#10;LnhtbFBLBQYAAAAABgAGAFkBAAA9BgAAAAA=&#10;">
                <v:fill on="t" focussize="0,0"/>
                <v:stroke weight="1.5pt" color="#FFFFFF"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专业拓展课</w:t>
                      </w:r>
                    </w:p>
                  </w:txbxContent>
                </v:textbox>
              </v:rect>
            </w:pict>
          </mc:Fallback>
        </mc:AlternateContent>
      </w:r>
      <w:r>
        <w:rPr>
          <w:sz w:val="28"/>
        </w:rPr>
        <mc:AlternateContent>
          <mc:Choice Requires="wps">
            <w:drawing>
              <wp:anchor distT="0" distB="0" distL="114300" distR="114300" simplePos="0" relativeHeight="251701248" behindDoc="0" locked="0" layoutInCell="1" allowOverlap="1">
                <wp:simplePos x="0" y="0"/>
                <wp:positionH relativeFrom="column">
                  <wp:posOffset>641350</wp:posOffset>
                </wp:positionH>
                <wp:positionV relativeFrom="paragraph">
                  <wp:posOffset>354330</wp:posOffset>
                </wp:positionV>
                <wp:extent cx="1146175" cy="448310"/>
                <wp:effectExtent l="0" t="0" r="16510" b="27940"/>
                <wp:wrapNone/>
                <wp:docPr id="344249710" name="矩形 3"/>
                <wp:cNvGraphicFramePr/>
                <a:graphic xmlns:a="http://schemas.openxmlformats.org/drawingml/2006/main">
                  <a:graphicData uri="http://schemas.microsoft.com/office/word/2010/wordprocessingShape">
                    <wps:wsp>
                      <wps:cNvSpPr/>
                      <wps:spPr>
                        <a:xfrm>
                          <a:off x="0" y="0"/>
                          <a:ext cx="1145959" cy="448573"/>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50.5pt;margin-top:27.9pt;height:35.3pt;width:90.25pt;z-index:251701248;v-text-anchor:middle;mso-width-relative:page;mso-height-relative:page;" filled="f" stroked="t" coordsize="21600,21600" o:gfxdata="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iVT1i2QAAAAoBAAAPAAAAAAAAAAEAIAAA&#10;ACIAAABkcnMvZG93bnJldi54bWxQSwECFAAUAAAACACHTuJAc6tFMn0CAADrBAAADgAAAAAAAAAB&#10;ACAAAAAoAQAAZHJzL2Uyb0RvYy54bWxQSwUGAAAAAAYABgBZAQAAFwYAAAAA&#10;">
                <v:fill on="f" focussize="0,0"/>
                <v:stroke weight="1.5pt" color="#1C334E" joinstyle="round"/>
                <v:imagedata o:title=""/>
                <o:lock v:ext="edit" aspectratio="f"/>
              </v:rect>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2693670</wp:posOffset>
                </wp:positionH>
                <wp:positionV relativeFrom="paragraph">
                  <wp:posOffset>191770</wp:posOffset>
                </wp:positionV>
                <wp:extent cx="5668010" cy="62928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668010" cy="62928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spacing w:line="300" w:lineRule="exact"/>
                              <w:jc w:val="left"/>
                              <w:rPr>
                                <w:rFonts w:hint="default"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rPr>
                              <w:t>物流数据分析、客户服务与管理、物流成本核算、物流单证实务、物流企业管理、物流信息技术</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网店运营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49.55pt;width:446.3pt;z-index:251663360;v-text-anchor:middle;mso-width-relative:page;mso-height-relative:page;" fillcolor="#DDF6F4" filled="t" stroked="t" coordsize="21600,21600" o:gfxdata="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ULE9V2AAAAAsBAAAPAAAAAAAAAAEAIAAAACIAAABkcnMvZG93bnJl&#10;di54bWxQSwECFAAUAAAACACHTuJAuDYODKgCAABUBQAADgAAAAAAAAABACAAAAAnAQAAZHJzL2Uy&#10;b0RvYy54bWxQSwUGAAAAAAYABgBZAQAAQQYAAAAA&#10;">
                <v:fill on="t" focussize="0,0"/>
                <v:stroke weight="1.5pt" color="#000000" miterlimit="8" joinstyle="miter"/>
                <v:imagedata o:title=""/>
                <o:lock v:ext="edit" aspectratio="f"/>
                <v:textbox>
                  <w:txbxContent>
                    <w:p>
                      <w:pPr>
                        <w:spacing w:line="300" w:lineRule="exact"/>
                        <w:jc w:val="left"/>
                        <w:rPr>
                          <w:rFonts w:hint="default"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rPr>
                        <w:t>物流数据分析、客户服务与管理、物流成本核算、物流单证实务、物流企业管理、物流信息技术</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网店运营</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5888"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5888;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84864;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3600" behindDoc="0" locked="0" layoutInCell="1" allowOverlap="1">
                <wp:simplePos x="0" y="0"/>
                <wp:positionH relativeFrom="column">
                  <wp:posOffset>2713355</wp:posOffset>
                </wp:positionH>
                <wp:positionV relativeFrom="paragraph">
                  <wp:posOffset>179705</wp:posOffset>
                </wp:positionV>
                <wp:extent cx="5658485" cy="875030"/>
                <wp:effectExtent l="9525" t="9525" r="27940" b="10795"/>
                <wp:wrapNone/>
                <wp:docPr id="48" name="矩形 48"/>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both"/>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运输实务、仓储与配送实务、快递实务、叉车作业与管理、国际货代实务、</w:t>
                            </w:r>
                          </w:p>
                          <w:p>
                            <w:pPr>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物流设施设备应用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8.9pt;width:445.55pt;z-index:251673600;v-text-anchor:middle;mso-width-relative:page;mso-height-relative:page;" fillcolor="#DDF6F4" filled="t" stroked="t" coordsize="21600,21600" o:gfxdata="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6Q2E2AAAAAsBAAAPAAAAAAAAAAEAIAAAACIAAABkcnMvZG93bnJl&#10;di54bWxQSwECFAAUAAAACACHTuJAzhJ4/agCAABUBQAADgAAAAAAAAABACAAAAAnAQAAZHJzL2Uy&#10;b0RvYy54bWxQSwUGAAAAAAYABgBZAQAAQQYAAAAA&#10;">
                <v:fill on="t" focussize="0,0"/>
                <v:stroke weight="1.5pt" color="#000000 [3213]" miterlimit="8" joinstyle="miter"/>
                <v:imagedata o:title=""/>
                <o:lock v:ext="edit" aspectratio="f"/>
                <v:textbox>
                  <w:txbxContent>
                    <w:p>
                      <w:pPr>
                        <w:jc w:val="both"/>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运输实务、仓储与配送实务、快递实务、叉车作业与管理、国际货代实务、</w:t>
                      </w:r>
                    </w:p>
                    <w:p>
                      <w:pPr>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物流设施设备应用</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702272" behindDoc="0" locked="0" layoutInCell="1" allowOverlap="1">
                <wp:simplePos x="0" y="0"/>
                <wp:positionH relativeFrom="column">
                  <wp:posOffset>617855</wp:posOffset>
                </wp:positionH>
                <wp:positionV relativeFrom="paragraph">
                  <wp:posOffset>52705</wp:posOffset>
                </wp:positionV>
                <wp:extent cx="1146175" cy="448310"/>
                <wp:effectExtent l="0" t="0" r="16510" b="27940"/>
                <wp:wrapNone/>
                <wp:docPr id="1745903274" name="矩形 3"/>
                <wp:cNvGraphicFramePr/>
                <a:graphic xmlns:a="http://schemas.openxmlformats.org/drawingml/2006/main">
                  <a:graphicData uri="http://schemas.microsoft.com/office/word/2010/wordprocessingShape">
                    <wps:wsp>
                      <wps:cNvSpPr/>
                      <wps:spPr>
                        <a:xfrm>
                          <a:off x="0" y="0"/>
                          <a:ext cx="1145959" cy="448573"/>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48.65pt;margin-top:4.15pt;height:35.3pt;width:90.25pt;z-index:251702272;v-text-anchor:middle;mso-width-relative:page;mso-height-relative:page;" filled="f" stroked="t" coordsize="21600,21600" o:gfxdata="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utMRT2AAAAAcBAAAPAAAAAAAAAAEAIAAA&#10;ACIAAABkcnMvZG93bnJldi54bWxQSwECFAAUAAAACACHTuJAUe5Jtn4CAADsBAAADgAAAAAAAAAB&#10;ACAAAAAnAQAAZHJzL2Uyb0RvYy54bWxQSwUGAAAAAAYABgBZAQAAFwYAAAAA&#10;">
                <v:fill on="f" focussize="0,0"/>
                <v:stroke weight="1.5pt" color="#1C334E" joinstyle="round"/>
                <v:imagedata o:title=""/>
                <o:lock v:ext="edit" aspectratio="f"/>
              </v:rect>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8384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81792;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rgbClr val="C0504D">
                            <a:lumMod val="20000"/>
                            <a:lumOff val="80000"/>
                          </a:srgbClr>
                        </a:solidFill>
                        <a:ln w="19050" cap="flat" cmpd="sng" algn="ctr">
                          <a:solidFill>
                            <a:srgbClr val="FFFFFF"/>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72576;v-text-anchor:middle;mso-width-relative:page;mso-height-relative:page;" fillcolor="#F2DCDB" filled="t" stroked="t" coordsize="21600,21600" o:gfxdata="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IuTHF2AAAAAcBAAAPAAAAAAAAAAEAIAAAACIAAABkcnMvZG93bnJl&#10;di54bWxQSwECFAAUAAAACACHTuJAo/5dGagCAABUBQAADgAAAAAAAAABACAAAAAnAQAAZHJzL2Uy&#10;b0RvYy54bWxQSwUGAAAAAAYABgBZAQAAQQYAAAAA&#10;">
                <v:fill on="t" focussize="0,0"/>
                <v:stroke weight="1.5pt" color="#FFFFFF"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614680</wp:posOffset>
                </wp:positionH>
                <wp:positionV relativeFrom="paragraph">
                  <wp:posOffset>21590</wp:posOffset>
                </wp:positionV>
                <wp:extent cx="1160145" cy="471805"/>
                <wp:effectExtent l="0" t="0" r="20955" b="23495"/>
                <wp:wrapNone/>
                <wp:docPr id="50" name="矩形 50"/>
                <wp:cNvGraphicFramePr/>
                <a:graphic xmlns:a="http://schemas.openxmlformats.org/drawingml/2006/main">
                  <a:graphicData uri="http://schemas.microsoft.com/office/word/2010/wordprocessingShape">
                    <wps:wsp>
                      <wps:cNvSpPr/>
                      <wps:spPr>
                        <a:xfrm>
                          <a:off x="0" y="0"/>
                          <a:ext cx="1160145" cy="471805"/>
                        </a:xfrm>
                        <a:prstGeom prst="rect">
                          <a:avLst/>
                        </a:prstGeom>
                        <a:solidFill>
                          <a:srgbClr val="C0504D">
                            <a:lumMod val="20000"/>
                            <a:lumOff val="80000"/>
                          </a:srgbClr>
                        </a:solidFill>
                        <a:ln w="19050" cap="flat" cmpd="sng" algn="ctr">
                          <a:solidFill>
                            <a:srgbClr val="FFFFFF"/>
                          </a:solidFill>
                          <a:prstDash val="solid"/>
                          <a:miter lim="800000"/>
                        </a:ln>
                        <a:effectLst/>
                      </wps:spPr>
                      <wps:txb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4pt;margin-top:1.7pt;height:37.15pt;width:91.35pt;z-index:251665408;v-text-anchor:middle;mso-width-relative:page;mso-height-relative:page;" fillcolor="#F2DCDB" filled="t" stroked="t" coordsize="21600,21600" o:gfxdata="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7jzjNtgAAAAHAQAADwAAAAAAAAABACAAAAAiAAAAZHJzL2Rvd25yZXYueG1sUEsBAhQAFAAA&#10;AAgAh07iQHWVVnCaAgAASAUAAA4AAAAAAAAAAQAgAAAAJwEAAGRycy9lMm9Eb2MueG1sUEsFBgAA&#10;AAAGAAYAWQEAADMGAAAAAA==&#10;">
                <v:fill on="t" focussize="0,0"/>
                <v:stroke weight="1.5pt" color="#FFFFFF" miterlimit="8"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591820</wp:posOffset>
                </wp:positionH>
                <wp:positionV relativeFrom="paragraph">
                  <wp:posOffset>50165</wp:posOffset>
                </wp:positionV>
                <wp:extent cx="1173480" cy="413385"/>
                <wp:effectExtent l="0" t="0" r="26670" b="25400"/>
                <wp:wrapNone/>
                <wp:docPr id="339403566" name="矩形 4"/>
                <wp:cNvGraphicFramePr/>
                <a:graphic xmlns:a="http://schemas.openxmlformats.org/drawingml/2006/main">
                  <a:graphicData uri="http://schemas.microsoft.com/office/word/2010/wordprocessingShape">
                    <wps:wsp>
                      <wps:cNvSpPr/>
                      <wps:spPr>
                        <a:xfrm>
                          <a:off x="0" y="0"/>
                          <a:ext cx="1173587" cy="413169"/>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46.6pt;margin-top:3.95pt;height:32.55pt;width:92.4pt;z-index:251677696;v-text-anchor:middle;mso-width-relative:page;mso-height-relative:page;" filled="f" stroked="t" coordsize="21600,21600" o:gfxdata="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2yxvLXAAAABwEAAA8AAAAAAAAAAQAgAAAA&#10;IgAAAGRycy9kb3ducmV2LnhtbFBLAQIUABQAAAAIAIdO4kAAS3jQfgIAAOsEAAAOAAAAAAAAAAEA&#10;IAAAACYBAABkcnMvZTJvRG9jLnhtbFBLBQYAAAAABgAGAFkBAAAWBgAAAAA=&#10;">
                <v:fill on="f" focussize="0,0"/>
                <v:stroke weight="1.5pt" color="#1C334E" joinstyle="round"/>
                <v:imagedata o:title=""/>
                <o:lock v:ext="edit" aspectratio="f"/>
              </v:rect>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6672;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1552;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 xml:space="preserve"> </w:t>
                            </w:r>
                            <w:r>
                              <w:rPr>
                                <w:rFonts w:hint="eastAsia" w:ascii="仿宋_GB2312" w:hAnsi="仿宋_GB2312" w:eastAsia="仿宋_GB2312" w:cs="仿宋_GB2312"/>
                                <w:color w:val="000000"/>
                                <w:sz w:val="24"/>
                                <w:lang w:val="en-US" w:eastAsia="zh-CN"/>
                              </w:rPr>
                              <w:t>物流基础</w:t>
                            </w:r>
                            <w:r>
                              <w:rPr>
                                <w:rFonts w:hint="eastAsia" w:ascii="仿宋_GB2312" w:hAnsi="仿宋_GB2312" w:eastAsia="仿宋_GB2312" w:cs="仿宋_GB2312"/>
                                <w:color w:val="000000"/>
                                <w:sz w:val="24"/>
                              </w:rPr>
                              <w:t>、供应链基础、物流法律法规、智慧物流技术与实务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67456;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 xml:space="preserve"> </w:t>
                      </w:r>
                      <w:r>
                        <w:rPr>
                          <w:rFonts w:hint="eastAsia" w:ascii="仿宋_GB2312" w:hAnsi="仿宋_GB2312" w:eastAsia="仿宋_GB2312" w:cs="仿宋_GB2312"/>
                          <w:color w:val="000000"/>
                          <w:sz w:val="24"/>
                          <w:lang w:val="en-US" w:eastAsia="zh-CN"/>
                        </w:rPr>
                        <w:t>物流基础</w:t>
                      </w:r>
                      <w:r>
                        <w:rPr>
                          <w:rFonts w:hint="eastAsia" w:ascii="仿宋_GB2312" w:hAnsi="仿宋_GB2312" w:eastAsia="仿宋_GB2312" w:cs="仿宋_GB2312"/>
                          <w:color w:val="000000"/>
                          <w:sz w:val="24"/>
                        </w:rPr>
                        <w:t>、供应链基础、物流法律法规、智慧物流技术与实务</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-494030</wp:posOffset>
                </wp:positionH>
                <wp:positionV relativeFrom="paragraph">
                  <wp:posOffset>200660</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9pt;margin-top:15.8pt;height:122.55pt;width:47.45pt;z-index:251659264;v-text-anchor:middle;mso-width-relative:page;mso-height-relative:page;" fillcolor="#FFFF00" filled="t" stroked="t" coordsize="21600,21600" o:gfxdata="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DueQ9DZAAAA&#10;CQEAAA8AAAAAAAAAAQAgAAAAIgAAAGRycy9kb3ducmV2LnhtbFBLAQIUABQAAAAIAIdO4kBWE5SM&#10;xwIAAGIFAAAOAAAAAAAAAAEAIAAAACgBAABkcnMvZTJvRG9jLnhtbFBLBQYAAAAABgAGAFkBAABh&#10;BgAAAAA=&#10;">
                <v:fill on="t" focussize="0,0"/>
                <v:stroke weight="1pt" color="#233F79" miterlimit="8"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8176"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8176;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rgbClr val="C0504D">
                            <a:lumMod val="20000"/>
                            <a:lumOff val="80000"/>
                          </a:srgbClr>
                        </a:solidFill>
                        <a:ln w="19050" cap="flat" cmpd="sng" algn="ctr">
                          <a:solidFill>
                            <a:srgbClr val="2E54A1">
                              <a:lumMod val="75000"/>
                            </a:srgbClr>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0288;v-text-anchor:middle;mso-width-relative:page;mso-height-relative:page;" fillcolor="#F2DCDB" filled="t" stroked="t" coordsize="21600,21600" o:gfxdata="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qdllldgAAAAIAQAADwAAAAAAAAABACAAAAAiAAAAZHJzL2Rvd25yZXYueG1sUEsBAhQA&#10;FAAAAAgAh07iQIWodD3WAgAAmwUAAA4AAAAAAAAAAQAgAAAAJwEAAGRycy9lMm9Eb2MueG1sUEsF&#10;BgAAAAAGAAYAWQEAAG8GAAAAAA==&#10;">
                <v:fill on="t" focussize="0,0"/>
                <v:stroke weight="1.5pt" color="#233F79"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rPr>
        <mc:AlternateContent>
          <mc:Choice Requires="wps">
            <w:drawing>
              <wp:anchor distT="0" distB="0" distL="114300" distR="114300" simplePos="0" relativeHeight="251696128"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96128;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rgbClr val="2E54A1">
                              <a:lumMod val="75000"/>
                            </a:srgbClr>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w:t>
                            </w:r>
                          </w:p>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9504;v-text-anchor:middle;mso-width-relative:page;mso-height-relative:page;" fillcolor="#FFFF00" filled="t" stroked="t" coordsize="21600,21600" o:gfxdata="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7piog2AAAAAkBAAAPAAAAAAAAAAEA&#10;IAAAACIAAABkcnMvZG93bnJldi54bWxQSwECFAAUAAAACACHTuJAMV6Cz/MCAADiBQAADgAAAAAA&#10;AAABACAAAAAnAQAAZHJzL2Uyb0RvYy54bWxQSwUGAAAAAAYABgBZAQAAjAYAAAAA&#10;">
                <v:fill type="gradient" on="t" color2="#838309" focus="100%" focussize="0,0" rotate="t">
                  <o:fill type="gradientUnscaled" v:ext="backwardCompatible"/>
                </v:fill>
                <v:stroke weight="1.5pt" color="#233F79"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w:t>
                      </w:r>
                    </w:p>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2578100</wp:posOffset>
                </wp:positionH>
                <wp:positionV relativeFrom="paragraph">
                  <wp:posOffset>273050</wp:posOffset>
                </wp:positionV>
                <wp:extent cx="5815965" cy="880745"/>
                <wp:effectExtent l="9525" t="9525" r="22860"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8480;v-text-anchor:middle;mso-width-relative:page;mso-height-relative:page;" fillcolor="#FBFB11" filled="t" stroked="t" coordsize="21600,21600" o:gfxdata="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DSS17dgAAAALAQAADwAAAAAAAAABACAAAAAiAAAAZHJzL2Rv&#10;d25yZXYueG1sUEsBAhQAFAAAAAgAh07iQE+8fuPlAgAAwAUAAA4AAAAAAAAAAQAgAAAAJw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9200"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9200;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rgbClr val="C0504D">
                            <a:lumMod val="20000"/>
                            <a:lumOff val="80000"/>
                          </a:srgbClr>
                        </a:solidFill>
                        <a:ln w="19050" cap="flat" cmpd="sng" algn="ctr">
                          <a:solidFill>
                            <a:srgbClr val="2E54A1">
                              <a:lumMod val="75000"/>
                            </a:srgbClr>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1312;v-text-anchor:middle;mso-width-relative:page;mso-height-relative:page;" fillcolor="#F2DCDB" filled="t" stroked="t" coordsize="21600,21600" o:gfxdata="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TRHCiNgAAAAIAQAADwAAAAAAAAABACAAAAAiAAAAZHJzL2Rvd25yZXYueG1sUEsBAhQAFAAA&#10;AAgAh07iQAUYIizTAgAAmwUAAA4AAAAAAAAAAQAgAAAAJwEAAGRycy9lMm9Eb2MueG1sUEsFBgAA&#10;AAAGAAYAWQEAAGwGAAAAAA==&#10;">
                <v:fill on="t" focussize="0,0"/>
                <v:stroke weight="1.5pt" color="#233F79"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97152;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rPr>
          <w:rFonts w:ascii="仿宋" w:hAnsi="仿宋" w:eastAsia="仿宋" w:cs="仿宋"/>
          <w:sz w:val="28"/>
          <w:szCs w:val="28"/>
        </w:rPr>
        <w:sectPr>
          <w:pgSz w:w="16840" w:h="11907" w:orient="landscape"/>
          <w:pgMar w:top="1531" w:right="2041" w:bottom="1531" w:left="1985" w:header="851" w:footer="1644" w:gutter="0"/>
          <w:pgNumType w:fmt="numberInDash"/>
          <w:cols w:space="425" w:num="1"/>
          <w:docGrid w:type="lines" w:linePitch="435" w:charSpace="-6554"/>
        </w:sectPr>
      </w:pPr>
    </w:p>
    <w:p>
      <w:pPr>
        <w:adjustRightInd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八、课程设置及要求</w:t>
      </w:r>
    </w:p>
    <w:p>
      <w:pPr>
        <w:autoSpaceDN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主要包括公共基础课程和专业（技能）课程两类。公</w:t>
      </w:r>
      <w:r>
        <w:rPr>
          <w:rFonts w:hint="eastAsia" w:ascii="仿宋_GB2312" w:hAnsi="仿宋_GB2312" w:eastAsia="仿宋_GB2312" w:cs="仿宋_GB2312"/>
          <w:spacing w:val="-6"/>
          <w:sz w:val="32"/>
          <w:szCs w:val="32"/>
        </w:rPr>
        <w:t>共基础</w:t>
      </w:r>
      <w:r>
        <w:rPr>
          <w:rFonts w:hint="eastAsia" w:ascii="仿宋_GB2312" w:hAnsi="仿宋_GB2312" w:eastAsia="仿宋_GB2312" w:cs="仿宋_GB2312"/>
          <w:sz w:val="32"/>
          <w:szCs w:val="32"/>
        </w:rPr>
        <w:t>课程包括</w:t>
      </w:r>
      <w:r>
        <w:rPr>
          <w:rFonts w:hint="eastAsia" w:ascii="仿宋_GB2312" w:hAnsi="仿宋_GB2312" w:eastAsia="仿宋_GB2312" w:cs="仿宋_GB2312"/>
          <w:spacing w:val="-6"/>
          <w:sz w:val="32"/>
          <w:szCs w:val="32"/>
        </w:rPr>
        <w:t>必修</w:t>
      </w:r>
      <w:r>
        <w:rPr>
          <w:rFonts w:hint="eastAsia" w:ascii="仿宋_GB2312" w:hAnsi="仿宋_GB2312" w:eastAsia="仿宋_GB2312" w:cs="仿宋_GB2312"/>
          <w:sz w:val="32"/>
          <w:szCs w:val="32"/>
        </w:rPr>
        <w:t>课</w:t>
      </w:r>
      <w:r>
        <w:rPr>
          <w:rFonts w:hint="eastAsia" w:ascii="仿宋_GB2312" w:hAnsi="仿宋_GB2312" w:eastAsia="仿宋_GB2312" w:cs="仿宋_GB2312"/>
          <w:spacing w:val="-6"/>
          <w:sz w:val="32"/>
          <w:szCs w:val="32"/>
        </w:rPr>
        <w:t>和限定选修课、任意选修课</w:t>
      </w:r>
      <w:r>
        <w:rPr>
          <w:rFonts w:hint="eastAsia" w:ascii="仿宋_GB2312" w:hAnsi="仿宋_GB2312" w:eastAsia="仿宋_GB2312" w:cs="仿宋_GB2312"/>
          <w:sz w:val="32"/>
          <w:szCs w:val="32"/>
        </w:rPr>
        <w:t>；专业（技能）课程包括专业基础课、专业核心课、专业拓展课和实习实训等。</w:t>
      </w:r>
    </w:p>
    <w:p>
      <w:pPr>
        <w:adjustRightInd w:val="0"/>
        <w:snapToGri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（一）公共基础课程</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中等职业学校公共基础课程方案》的规定，将中国特色社会主义、心理健康与职业生涯、哲学与人生、职业道德与法治、语文、历史、数学、英语、信息技术、体育与健康、艺术、劳动教育等列为公共基础必修课程，将物理列为部分专业必修课程，将中华优秀传统文化教育、</w:t>
      </w:r>
      <w:r>
        <w:rPr>
          <w:rFonts w:hint="eastAsia" w:ascii="仿宋_GB2312" w:hAnsi="仿宋_GB2312" w:eastAsia="仿宋_GB2312" w:cs="仿宋_GB2312"/>
          <w:sz w:val="32"/>
          <w:szCs w:val="32"/>
          <w:lang w:val="en-US" w:eastAsia="zh-CN"/>
        </w:rPr>
        <w:t>中职生创新创业教育、</w:t>
      </w:r>
      <w:r>
        <w:rPr>
          <w:rFonts w:hint="eastAsia" w:ascii="仿宋_GB2312" w:hAnsi="仿宋_GB2312" w:eastAsia="仿宋_GB2312" w:cs="仿宋_GB2312"/>
          <w:sz w:val="32"/>
          <w:szCs w:val="32"/>
        </w:rPr>
        <w:t>安全教育、语文（职业模块）、数学（拓展模块）等列为限定选修课。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 w:hAnsi="仿宋" w:eastAsia="仿宋" w:cs="仿宋"/>
          <w:sz w:val="24"/>
        </w:rPr>
      </w:pPr>
      <w:r>
        <w:rPr>
          <w:rFonts w:hint="eastAsia" w:ascii="黑体" w:hAnsi="黑体" w:eastAsia="黑体" w:cs="黑体"/>
          <w:sz w:val="24"/>
        </w:rPr>
        <w:t>表2  公共基础必修课程教学内容与要求</w:t>
      </w:r>
    </w:p>
    <w:tbl>
      <w:tblPr>
        <w:tblStyle w:val="16"/>
        <w:tblW w:w="10293" w:type="dxa"/>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88"/>
        <w:gridCol w:w="700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488"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7005"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10" w:type="dxa"/>
            <w:vAlign w:val="center"/>
          </w:tcPr>
          <w:p>
            <w:pPr>
              <w:spacing w:line="360" w:lineRule="exact"/>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trPr>
        <w:tc>
          <w:tcPr>
            <w:tcW w:w="690" w:type="dxa"/>
            <w:vAlign w:val="center"/>
          </w:tcPr>
          <w:p>
            <w:pPr>
              <w:pStyle w:val="7"/>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488" w:type="dxa"/>
            <w:vAlign w:val="center"/>
          </w:tcPr>
          <w:p>
            <w:pPr>
              <w:pStyle w:val="7"/>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中国特色</w:t>
            </w:r>
          </w:p>
          <w:p>
            <w:pPr>
              <w:pStyle w:val="7"/>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社会主义</w:t>
            </w:r>
          </w:p>
        </w:tc>
        <w:tc>
          <w:tcPr>
            <w:tcW w:w="7005" w:type="dxa"/>
            <w:vAlign w:val="center"/>
          </w:tcPr>
          <w:p>
            <w:pPr>
              <w:keepNext w:val="0"/>
              <w:keepLines w:val="0"/>
              <w:pageBreakBefore w:val="0"/>
              <w:kinsoku/>
              <w:wordWrap/>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10" w:type="dxa"/>
            <w:vAlign w:val="center"/>
          </w:tcPr>
          <w:p>
            <w:pPr>
              <w:autoSpaceDE w:val="0"/>
              <w:autoSpaceDN w:val="0"/>
              <w:adjustRightInd w:val="0"/>
              <w:snapToGrid w:val="0"/>
              <w:spacing w:line="440" w:lineRule="atLeas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90" w:type="dxa"/>
            <w:vAlign w:val="center"/>
          </w:tcPr>
          <w:p>
            <w:pPr>
              <w:pStyle w:val="7"/>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488" w:type="dxa"/>
            <w:vAlign w:val="center"/>
          </w:tcPr>
          <w:p>
            <w:pPr>
              <w:pStyle w:val="7"/>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心理健康与</w:t>
            </w:r>
          </w:p>
          <w:p>
            <w:pPr>
              <w:pStyle w:val="7"/>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职业生涯</w:t>
            </w:r>
          </w:p>
        </w:tc>
        <w:tc>
          <w:tcPr>
            <w:tcW w:w="7005" w:type="dxa"/>
            <w:vAlign w:val="center"/>
          </w:tcPr>
          <w:p>
            <w:pPr>
              <w:pStyle w:val="7"/>
              <w:keepNext w:val="0"/>
              <w:keepLines w:val="0"/>
              <w:pageBreakBefore w:val="0"/>
              <w:widowControl w:val="0"/>
              <w:kinsoku/>
              <w:wordWrap/>
              <w:overflowPunct/>
              <w:topLinePunct w:val="0"/>
              <w:autoSpaceDE/>
              <w:autoSpaceDN/>
              <w:bidi w:val="0"/>
              <w:adjustRightInd w:val="0"/>
              <w:snapToGrid w:val="0"/>
              <w:spacing w:line="30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10" w:type="dxa"/>
            <w:vAlign w:val="center"/>
          </w:tcPr>
          <w:p>
            <w:pPr>
              <w:pStyle w:val="7"/>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exact"/>
        </w:trPr>
        <w:tc>
          <w:tcPr>
            <w:tcW w:w="690" w:type="dxa"/>
            <w:vAlign w:val="center"/>
          </w:tcPr>
          <w:p>
            <w:pPr>
              <w:pStyle w:val="7"/>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w:t>
            </w:r>
          </w:p>
        </w:tc>
        <w:tc>
          <w:tcPr>
            <w:tcW w:w="1488" w:type="dxa"/>
            <w:vAlign w:val="center"/>
          </w:tcPr>
          <w:p>
            <w:pPr>
              <w:pStyle w:val="7"/>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哲学与人生</w:t>
            </w:r>
          </w:p>
        </w:tc>
        <w:tc>
          <w:tcPr>
            <w:tcW w:w="7005" w:type="dxa"/>
            <w:vAlign w:val="center"/>
          </w:tcPr>
          <w:p>
            <w:pPr>
              <w:keepNext w:val="0"/>
              <w:keepLines w:val="0"/>
              <w:pageBreakBefore w:val="0"/>
              <w:kinsoku/>
              <w:wordWrap/>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10" w:type="dxa"/>
            <w:vAlign w:val="center"/>
          </w:tcPr>
          <w:p>
            <w:pPr>
              <w:autoSpaceDE w:val="0"/>
              <w:autoSpaceDN w:val="0"/>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690" w:type="dxa"/>
            <w:vAlign w:val="center"/>
          </w:tcPr>
          <w:p>
            <w:pPr>
              <w:pStyle w:val="7"/>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4</w:t>
            </w:r>
          </w:p>
        </w:tc>
        <w:tc>
          <w:tcPr>
            <w:tcW w:w="1488" w:type="dxa"/>
            <w:vAlign w:val="center"/>
          </w:tcPr>
          <w:p>
            <w:pPr>
              <w:pStyle w:val="7"/>
              <w:adjustRightInd w:val="0"/>
              <w:snapToGrid w:val="0"/>
              <w:spacing w:line="3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职业道德与</w:t>
            </w:r>
          </w:p>
          <w:p>
            <w:pPr>
              <w:pStyle w:val="7"/>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法治</w:t>
            </w:r>
          </w:p>
        </w:tc>
        <w:tc>
          <w:tcPr>
            <w:tcW w:w="7005" w:type="dxa"/>
            <w:vAlign w:val="center"/>
          </w:tcPr>
          <w:p>
            <w:pPr>
              <w:keepNext w:val="0"/>
              <w:keepLines w:val="0"/>
              <w:pageBreakBefore w:val="0"/>
              <w:kinsoku/>
              <w:wordWrap/>
              <w:overflowPunct w:val="0"/>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10" w:type="dxa"/>
            <w:vAlign w:val="center"/>
          </w:tcPr>
          <w:p>
            <w:pPr>
              <w:autoSpaceDE w:val="0"/>
              <w:autoSpaceDN w:val="0"/>
              <w:adjustRightInd w:val="0"/>
              <w:snapToGrid w:val="0"/>
              <w:spacing w:line="44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6"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5</w:t>
            </w:r>
          </w:p>
        </w:tc>
        <w:tc>
          <w:tcPr>
            <w:tcW w:w="1488" w:type="dxa"/>
            <w:vAlign w:val="center"/>
          </w:tcPr>
          <w:p>
            <w:pPr>
              <w:autoSpaceDE w:val="0"/>
              <w:autoSpaceDN w:val="0"/>
              <w:adjustRightInd w:val="0"/>
              <w:snapToGrid w:val="0"/>
              <w:spacing w:line="36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语文</w:t>
            </w:r>
          </w:p>
          <w:p>
            <w:pPr>
              <w:pStyle w:val="7"/>
              <w:spacing w:line="36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7005" w:type="dxa"/>
            <w:vAlign w:val="center"/>
          </w:tcPr>
          <w:p>
            <w:pPr>
              <w:keepNext w:val="0"/>
              <w:keepLines w:val="0"/>
              <w:pageBreakBefore w:val="0"/>
              <w:widowControl/>
              <w:kinsoku/>
              <w:wordWrap/>
              <w:topLinePunct w:val="0"/>
              <w:bidi w:val="0"/>
              <w:adjustRightIn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按照教育部颁布的《中等职业学校语文课程标准》的要求开设。通过</w:t>
            </w:r>
            <w:r>
              <w:rPr>
                <w:rFonts w:hint="eastAsia" w:ascii="仿宋_GB2312" w:hAnsi="仿宋_GB2312" w:eastAsia="仿宋_GB2312" w:cs="仿宋_GB2312"/>
                <w:kern w:val="0"/>
                <w:szCs w:val="21"/>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10"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6</w:t>
            </w:r>
          </w:p>
        </w:tc>
        <w:tc>
          <w:tcPr>
            <w:tcW w:w="1488" w:type="dxa"/>
            <w:vAlign w:val="center"/>
          </w:tcPr>
          <w:p>
            <w:pPr>
              <w:autoSpaceDE w:val="0"/>
              <w:autoSpaceDN w:val="0"/>
              <w:adjustRightInd w:val="0"/>
              <w:snapToGrid w:val="0"/>
              <w:spacing w:line="36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数学</w:t>
            </w:r>
          </w:p>
          <w:p>
            <w:pPr>
              <w:pStyle w:val="7"/>
              <w:spacing w:line="360" w:lineRule="exact"/>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7005" w:type="dxa"/>
            <w:vAlign w:val="center"/>
          </w:tcPr>
          <w:p>
            <w:pPr>
              <w:keepNext w:val="0"/>
              <w:keepLines w:val="0"/>
              <w:pageBreakBefore w:val="0"/>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10"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exac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7</w:t>
            </w:r>
          </w:p>
        </w:tc>
        <w:tc>
          <w:tcPr>
            <w:tcW w:w="1488" w:type="dxa"/>
            <w:vAlign w:val="center"/>
          </w:tcPr>
          <w:p>
            <w:pPr>
              <w:autoSpaceDE w:val="0"/>
              <w:autoSpaceDN w:val="0"/>
              <w:adjustRightInd w:val="0"/>
              <w:snapToGrid w:val="0"/>
              <w:spacing w:line="36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英语</w:t>
            </w:r>
          </w:p>
          <w:p>
            <w:pPr>
              <w:pStyle w:val="7"/>
              <w:spacing w:line="360" w:lineRule="exact"/>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7005" w:type="dxa"/>
            <w:vAlign w:val="center"/>
          </w:tcPr>
          <w:p>
            <w:pPr>
              <w:keepNext w:val="0"/>
              <w:keepLines w:val="0"/>
              <w:pageBreakBefore w:val="0"/>
              <w:widowControl/>
              <w:kinsoku/>
              <w:wordWrap/>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按照教育部颁布的《中等职业学校英语课程标准》的教学要求开设。</w:t>
            </w:r>
            <w:r>
              <w:rPr>
                <w:rFonts w:hint="eastAsia" w:ascii="仿宋_GB2312" w:hAnsi="仿宋_GB2312" w:eastAsia="仿宋_GB2312" w:cs="仿宋_GB2312"/>
                <w:kern w:val="0"/>
                <w:szCs w:val="21"/>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10"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trPr>
        <w:tc>
          <w:tcPr>
            <w:tcW w:w="690" w:type="dxa"/>
            <w:vAlign w:val="center"/>
          </w:tcPr>
          <w:p>
            <w:pPr>
              <w:autoSpaceDE w:val="0"/>
              <w:autoSpaceDN w:val="0"/>
              <w:adjustRightInd w:val="0"/>
              <w:snapToGrid w:val="0"/>
              <w:spacing w:line="400" w:lineRule="atLeas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8</w:t>
            </w:r>
          </w:p>
        </w:tc>
        <w:tc>
          <w:tcPr>
            <w:tcW w:w="1488" w:type="dxa"/>
            <w:vAlign w:val="center"/>
          </w:tcPr>
          <w:p>
            <w:pPr>
              <w:autoSpaceDE w:val="0"/>
              <w:autoSpaceDN w:val="0"/>
              <w:adjustRightInd w:val="0"/>
              <w:snapToGrid w:val="0"/>
              <w:spacing w:line="36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信息技术</w:t>
            </w:r>
          </w:p>
          <w:p>
            <w:pPr>
              <w:autoSpaceDE w:val="0"/>
              <w:autoSpaceDN w:val="0"/>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7005" w:type="dxa"/>
            <w:vAlign w:val="center"/>
          </w:tcPr>
          <w:p>
            <w:pPr>
              <w:keepNext w:val="0"/>
              <w:keepLines w:val="0"/>
              <w:pageBreakBefore w:val="0"/>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按照教育部颁布的《中等职业学校信息技术课程标准》的教学要求开设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10"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9</w:t>
            </w:r>
          </w:p>
        </w:tc>
        <w:tc>
          <w:tcPr>
            <w:tcW w:w="1488" w:type="dxa"/>
            <w:vAlign w:val="center"/>
          </w:tcPr>
          <w:p>
            <w:pPr>
              <w:autoSpaceDE w:val="0"/>
              <w:autoSpaceDN w:val="0"/>
              <w:adjustRightInd w:val="0"/>
              <w:snapToGrid w:val="0"/>
              <w:spacing w:line="36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历史</w:t>
            </w:r>
          </w:p>
          <w:p>
            <w:pPr>
              <w:pStyle w:val="7"/>
              <w:spacing w:line="360" w:lineRule="exact"/>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7005" w:type="dxa"/>
            <w:vAlign w:val="center"/>
          </w:tcPr>
          <w:p>
            <w:pPr>
              <w:keepNext w:val="0"/>
              <w:keepLines w:val="0"/>
              <w:pageBreakBefore w:val="0"/>
              <w:kinsoku/>
              <w:wordWrap/>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10"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3"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w:t>
            </w:r>
          </w:p>
        </w:tc>
        <w:tc>
          <w:tcPr>
            <w:tcW w:w="1488" w:type="dxa"/>
            <w:vAlign w:val="center"/>
          </w:tcPr>
          <w:p>
            <w:pPr>
              <w:autoSpaceDE w:val="0"/>
              <w:autoSpaceDN w:val="0"/>
              <w:adjustRightInd w:val="0"/>
              <w:snapToGrid w:val="0"/>
              <w:spacing w:line="36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体育与健康</w:t>
            </w:r>
          </w:p>
          <w:p>
            <w:pPr>
              <w:pStyle w:val="7"/>
              <w:spacing w:line="360" w:lineRule="exact"/>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7005" w:type="dxa"/>
            <w:vAlign w:val="center"/>
          </w:tcPr>
          <w:p>
            <w:pPr>
              <w:keepNext w:val="0"/>
              <w:keepLines w:val="0"/>
              <w:pageBreakBefore w:val="0"/>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10"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trPr>
        <w:tc>
          <w:tcPr>
            <w:tcW w:w="690" w:type="dxa"/>
            <w:vAlign w:val="center"/>
          </w:tcPr>
          <w:p>
            <w:pPr>
              <w:pStyle w:val="7"/>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11</w:t>
            </w:r>
          </w:p>
        </w:tc>
        <w:tc>
          <w:tcPr>
            <w:tcW w:w="1488" w:type="dxa"/>
            <w:vAlign w:val="center"/>
          </w:tcPr>
          <w:p>
            <w:pPr>
              <w:autoSpaceDE w:val="0"/>
              <w:autoSpaceDN w:val="0"/>
              <w:adjustRightInd w:val="0"/>
              <w:snapToGrid w:val="0"/>
              <w:spacing w:line="36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艺术</w:t>
            </w:r>
          </w:p>
          <w:p>
            <w:pPr>
              <w:pStyle w:val="7"/>
              <w:spacing w:line="360" w:lineRule="exact"/>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7005" w:type="dxa"/>
            <w:vAlign w:val="center"/>
          </w:tcPr>
          <w:p>
            <w:pPr>
              <w:keepNext w:val="0"/>
              <w:keepLines w:val="0"/>
              <w:pageBreakBefore w:val="0"/>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按照教育部颁布的《中等职业学校艺术课程标准》的教学要求开设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10"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4" w:hRule="atLeast"/>
        </w:trPr>
        <w:tc>
          <w:tcPr>
            <w:tcW w:w="690" w:type="dxa"/>
            <w:vAlign w:val="center"/>
          </w:tcPr>
          <w:p>
            <w:pPr>
              <w:autoSpaceDE w:val="0"/>
              <w:autoSpaceDN w:val="0"/>
              <w:adjustRightInd w:val="0"/>
              <w:snapToGrid w:val="0"/>
              <w:spacing w:line="400" w:lineRule="atLeas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488" w:type="dxa"/>
            <w:vAlign w:val="center"/>
          </w:tcPr>
          <w:p>
            <w:pPr>
              <w:autoSpaceDE w:val="0"/>
              <w:autoSpaceDN w:val="0"/>
              <w:adjustRightInd w:val="0"/>
              <w:snapToGrid w:val="0"/>
              <w:spacing w:line="36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劳动</w:t>
            </w:r>
            <w:r>
              <w:rPr>
                <w:rFonts w:hint="eastAsia" w:ascii="仿宋_GB2312" w:hAnsi="仿宋_GB2312" w:eastAsia="仿宋_GB2312" w:cs="仿宋_GB2312"/>
                <w:kern w:val="0"/>
                <w:szCs w:val="21"/>
              </w:rPr>
              <w:t>教育</w:t>
            </w:r>
          </w:p>
        </w:tc>
        <w:tc>
          <w:tcPr>
            <w:tcW w:w="7005" w:type="dxa"/>
            <w:vAlign w:val="center"/>
          </w:tcPr>
          <w:p>
            <w:pPr>
              <w:keepNext w:val="0"/>
              <w:keepLines w:val="0"/>
              <w:pageBreakBefore w:val="0"/>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10" w:type="dxa"/>
            <w:vAlign w:val="center"/>
          </w:tcPr>
          <w:p>
            <w:pPr>
              <w:autoSpaceDE w:val="0"/>
              <w:autoSpaceDN w:val="0"/>
              <w:adjustRightInd w:val="0"/>
              <w:snapToGrid w:val="0"/>
              <w:spacing w:line="400" w:lineRule="atLeast"/>
              <w:jc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36</w:t>
            </w:r>
          </w:p>
        </w:tc>
      </w:tr>
    </w:tbl>
    <w:p>
      <w:pPr>
        <w:adjustRightInd w:val="0"/>
        <w:snapToGrid w:val="0"/>
        <w:spacing w:line="560" w:lineRule="exact"/>
        <w:jc w:val="center"/>
        <w:rPr>
          <w:rFonts w:ascii="仿宋" w:hAnsi="仿宋" w:eastAsia="仿宋" w:cs="仿宋"/>
          <w:sz w:val="24"/>
        </w:rPr>
      </w:pPr>
      <w:r>
        <w:rPr>
          <w:rFonts w:hint="eastAsia" w:ascii="黑体" w:hAnsi="黑体" w:eastAsia="黑体" w:cs="黑体"/>
          <w:sz w:val="24"/>
        </w:rPr>
        <w:t>表3  公共基础选修课程教学内容与要求</w:t>
      </w:r>
    </w:p>
    <w:tbl>
      <w:tblPr>
        <w:tblStyle w:val="16"/>
        <w:tblW w:w="10350"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15"/>
        <w:gridCol w:w="7005"/>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515"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7005"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55"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675"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w:t>
            </w:r>
          </w:p>
        </w:tc>
        <w:tc>
          <w:tcPr>
            <w:tcW w:w="1515" w:type="dxa"/>
            <w:vAlign w:val="center"/>
          </w:tcPr>
          <w:p>
            <w:pPr>
              <w:adjustRightInd w:val="0"/>
              <w:snapToGrid w:val="0"/>
              <w:spacing w:line="360" w:lineRule="exact"/>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中职生传统</w:t>
            </w:r>
          </w:p>
          <w:p>
            <w:pPr>
              <w:adjustRightInd w:val="0"/>
              <w:snapToGrid w:val="0"/>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文化</w:t>
            </w:r>
            <w:r>
              <w:rPr>
                <w:rFonts w:hint="eastAsia" w:ascii="仿宋_GB2312" w:hAnsi="仿宋_GB2312" w:eastAsia="仿宋_GB2312" w:cs="仿宋_GB2312"/>
                <w:kern w:val="0"/>
                <w:szCs w:val="21"/>
                <w:lang w:val="en-US" w:eastAsia="zh-CN"/>
              </w:rPr>
              <w:t>教育</w:t>
            </w:r>
          </w:p>
        </w:tc>
        <w:tc>
          <w:tcPr>
            <w:tcW w:w="7005"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55" w:type="dxa"/>
            <w:vAlign w:val="center"/>
          </w:tcPr>
          <w:p>
            <w:pPr>
              <w:autoSpaceDE w:val="0"/>
              <w:autoSpaceDN w:val="0"/>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675" w:type="dxa"/>
            <w:vAlign w:val="center"/>
          </w:tcPr>
          <w:p>
            <w:pPr>
              <w:adjustRightInd w:val="0"/>
              <w:snapToGrid w:val="0"/>
              <w:spacing w:line="40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515" w:type="dxa"/>
            <w:vAlign w:val="center"/>
          </w:tcPr>
          <w:p>
            <w:pPr>
              <w:adjustRightInd w:val="0"/>
              <w:snapToGrid w:val="0"/>
              <w:spacing w:line="40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7005"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55" w:type="dxa"/>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67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515" w:type="dxa"/>
            <w:vAlign w:val="center"/>
          </w:tcPr>
          <w:p>
            <w:pPr>
              <w:adjustRightInd w:val="0"/>
              <w:snapToGrid w:val="0"/>
              <w:spacing w:line="400" w:lineRule="exact"/>
              <w:jc w:val="center"/>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中职生创新</w:t>
            </w:r>
          </w:p>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创业教育</w:t>
            </w:r>
          </w:p>
        </w:tc>
        <w:tc>
          <w:tcPr>
            <w:tcW w:w="7005"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5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trPr>
        <w:tc>
          <w:tcPr>
            <w:tcW w:w="675" w:type="dxa"/>
            <w:vAlign w:val="center"/>
          </w:tcPr>
          <w:p>
            <w:pPr>
              <w:pStyle w:val="7"/>
              <w:spacing w:line="38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4</w:t>
            </w:r>
          </w:p>
        </w:tc>
        <w:tc>
          <w:tcPr>
            <w:tcW w:w="1515" w:type="dxa"/>
            <w:vAlign w:val="center"/>
          </w:tcPr>
          <w:p>
            <w:pPr>
              <w:autoSpaceDE w:val="0"/>
              <w:autoSpaceDN w:val="0"/>
              <w:adjustRightInd w:val="0"/>
              <w:snapToGrid w:val="0"/>
              <w:spacing w:line="360" w:lineRule="exact"/>
              <w:ind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语文</w:t>
            </w:r>
          </w:p>
          <w:p>
            <w:pPr>
              <w:pStyle w:val="7"/>
              <w:spacing w:line="36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7005"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55"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trPr>
        <w:tc>
          <w:tcPr>
            <w:tcW w:w="675" w:type="dxa"/>
            <w:vAlign w:val="center"/>
          </w:tcPr>
          <w:p>
            <w:pPr>
              <w:pStyle w:val="7"/>
              <w:spacing w:line="38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5</w:t>
            </w:r>
          </w:p>
        </w:tc>
        <w:tc>
          <w:tcPr>
            <w:tcW w:w="1515" w:type="dxa"/>
            <w:vAlign w:val="center"/>
          </w:tcPr>
          <w:p>
            <w:pPr>
              <w:autoSpaceDE w:val="0"/>
              <w:autoSpaceDN w:val="0"/>
              <w:adjustRightInd w:val="0"/>
              <w:snapToGrid w:val="0"/>
              <w:spacing w:line="360" w:lineRule="exact"/>
              <w:ind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数学</w:t>
            </w:r>
          </w:p>
          <w:p>
            <w:pPr>
              <w:pStyle w:val="7"/>
              <w:spacing w:line="36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7005"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55"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675" w:type="dxa"/>
            <w:vAlign w:val="center"/>
          </w:tcPr>
          <w:p>
            <w:pPr>
              <w:autoSpaceDE w:val="0"/>
              <w:autoSpaceDN w:val="0"/>
              <w:adjustRightInd w:val="0"/>
              <w:snapToGrid w:val="0"/>
              <w:spacing w:line="380" w:lineRule="exact"/>
              <w:ind w:hanging="27"/>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6</w:t>
            </w:r>
          </w:p>
        </w:tc>
        <w:tc>
          <w:tcPr>
            <w:tcW w:w="1515" w:type="dxa"/>
            <w:vAlign w:val="center"/>
          </w:tcPr>
          <w:p>
            <w:pPr>
              <w:autoSpaceDE w:val="0"/>
              <w:autoSpaceDN w:val="0"/>
              <w:adjustRightInd w:val="0"/>
              <w:snapToGrid w:val="0"/>
              <w:spacing w:line="360" w:lineRule="exact"/>
              <w:ind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英语</w:t>
            </w:r>
          </w:p>
          <w:p>
            <w:pPr>
              <w:autoSpaceDE w:val="0"/>
              <w:autoSpaceDN w:val="0"/>
              <w:adjustRightInd w:val="0"/>
              <w:snapToGrid w:val="0"/>
              <w:spacing w:line="360" w:lineRule="exact"/>
              <w:ind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7005"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155"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8" w:hRule="atLeast"/>
        </w:trPr>
        <w:tc>
          <w:tcPr>
            <w:tcW w:w="675" w:type="dxa"/>
            <w:vAlign w:val="center"/>
          </w:tcPr>
          <w:p>
            <w:pPr>
              <w:autoSpaceDE w:val="0"/>
              <w:autoSpaceDN w:val="0"/>
              <w:adjustRightInd w:val="0"/>
              <w:snapToGrid w:val="0"/>
              <w:spacing w:line="360" w:lineRule="exact"/>
              <w:ind w:hanging="27"/>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7</w:t>
            </w:r>
          </w:p>
        </w:tc>
        <w:tc>
          <w:tcPr>
            <w:tcW w:w="1515" w:type="dxa"/>
            <w:vAlign w:val="center"/>
          </w:tcPr>
          <w:p>
            <w:pPr>
              <w:autoSpaceDE w:val="0"/>
              <w:autoSpaceDN w:val="0"/>
              <w:adjustRightInd w:val="0"/>
              <w:snapToGrid w:val="0"/>
              <w:spacing w:line="360" w:lineRule="exact"/>
              <w:ind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体育与健康</w:t>
            </w:r>
          </w:p>
          <w:p>
            <w:pPr>
              <w:autoSpaceDE w:val="0"/>
              <w:autoSpaceDN w:val="0"/>
              <w:adjustRightInd w:val="0"/>
              <w:snapToGrid w:val="0"/>
              <w:spacing w:line="360" w:lineRule="exact"/>
              <w:ind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7005"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55" w:type="dxa"/>
            <w:vAlign w:val="center"/>
          </w:tcPr>
          <w:p>
            <w:pPr>
              <w:autoSpaceDE w:val="0"/>
              <w:autoSpaceDN w:val="0"/>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90</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ascii="楷体" w:hAnsi="楷体" w:eastAsia="楷体" w:cs="楷体"/>
          <w:sz w:val="32"/>
          <w:szCs w:val="32"/>
        </w:rPr>
      </w:pPr>
      <w:r>
        <w:rPr>
          <w:rFonts w:hint="eastAsia" w:ascii="楷体" w:hAnsi="楷体" w:eastAsia="楷体" w:cs="楷体"/>
          <w:sz w:val="32"/>
          <w:szCs w:val="32"/>
        </w:rPr>
        <w:t>（二）专业（技能）课程</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专业（技能）课程包括专业基础课程、专业核心课程、专业拓展课程和实习实训等。</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1.专业基础课程</w:t>
      </w:r>
    </w:p>
    <w:p>
      <w:pPr>
        <w:pStyle w:val="4"/>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主要包括智慧物流、供应链基础、物流法律法规、智慧物流技术与实务等四门课程，是物流服务与管理专业学生必修的专业基础课程。</w:t>
      </w:r>
    </w:p>
    <w:p>
      <w:pPr>
        <w:spacing w:line="560" w:lineRule="exact"/>
        <w:ind w:firstLine="200"/>
        <w:jc w:val="center"/>
        <w:rPr>
          <w:rFonts w:hint="eastAsia" w:ascii="黑体" w:hAnsi="黑体" w:eastAsia="黑体" w:cs="黑体"/>
          <w:sz w:val="24"/>
        </w:rPr>
      </w:pPr>
    </w:p>
    <w:p>
      <w:pPr>
        <w:spacing w:line="560" w:lineRule="exact"/>
        <w:ind w:firstLine="200"/>
        <w:jc w:val="center"/>
        <w:rPr>
          <w:rFonts w:hint="eastAsia" w:ascii="黑体" w:hAnsi="黑体" w:eastAsia="黑体" w:cs="黑体"/>
          <w:sz w:val="24"/>
        </w:rPr>
      </w:pPr>
    </w:p>
    <w:p>
      <w:pPr>
        <w:spacing w:line="560" w:lineRule="exact"/>
        <w:ind w:firstLine="200"/>
        <w:jc w:val="center"/>
        <w:rPr>
          <w:rFonts w:ascii="仿宋" w:hAnsi="仿宋" w:eastAsia="仿宋" w:cs="仿宋"/>
          <w:sz w:val="24"/>
        </w:rPr>
      </w:pPr>
      <w:r>
        <w:rPr>
          <w:rFonts w:hint="eastAsia" w:ascii="黑体" w:hAnsi="黑体" w:eastAsia="黑体" w:cs="黑体"/>
          <w:sz w:val="24"/>
        </w:rPr>
        <w:t>表4  专业基础课程主要教学内容与要求</w:t>
      </w:r>
    </w:p>
    <w:tbl>
      <w:tblPr>
        <w:tblStyle w:val="15"/>
        <w:tblW w:w="9361"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31"/>
        <w:gridCol w:w="633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531"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334"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850" w:type="dxa"/>
            <w:vAlign w:val="center"/>
          </w:tcPr>
          <w:p>
            <w:pPr>
              <w:jc w:val="center"/>
              <w:rPr>
                <w:rFonts w:ascii="黑体" w:hAnsi="黑体" w:eastAsia="黑体" w:cs="黑体"/>
                <w:szCs w:val="21"/>
              </w:rPr>
            </w:pPr>
            <w:r>
              <w:rPr>
                <w:rFonts w:hint="eastAsia" w:ascii="黑体" w:hAnsi="黑体" w:eastAsia="黑体" w:cs="黑体"/>
                <w:szCs w:val="21"/>
              </w:rPr>
              <w:t>参考</w:t>
            </w:r>
          </w:p>
          <w:p>
            <w:pPr>
              <w:jc w:val="center"/>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646"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531" w:type="dxa"/>
            <w:vAlign w:val="center"/>
          </w:tcPr>
          <w:p>
            <w:pPr>
              <w:adjustRightInd w:val="0"/>
              <w:snapToGrid w:val="0"/>
              <w:spacing w:line="36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物流基础</w:t>
            </w:r>
          </w:p>
        </w:tc>
        <w:tc>
          <w:tcPr>
            <w:tcW w:w="6334" w:type="dxa"/>
            <w:vAlign w:val="center"/>
          </w:tcPr>
          <w:p>
            <w:pPr>
              <w:adjustRightInd w:val="0"/>
              <w:snapToGrid w:val="0"/>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基础课程。主要包括物流的功能和信息化发展、认识企业物流、国际物流和供应链等教学内容。通过本课程学习，使学生学习和掌握物流企业及其组织架构等基本知识，具备操作智慧物流技术与装备的能力，会实施物流任务流程。</w:t>
            </w:r>
          </w:p>
        </w:tc>
        <w:tc>
          <w:tcPr>
            <w:tcW w:w="850" w:type="dxa"/>
            <w:vAlign w:val="center"/>
          </w:tcPr>
          <w:p>
            <w:pPr>
              <w:adjustRightInd w:val="0"/>
              <w:snapToGrid w:val="0"/>
              <w:spacing w:line="400" w:lineRule="exact"/>
              <w:jc w:val="center"/>
              <w:rPr>
                <w:rFonts w:ascii="仿宋_GB2312" w:hAnsi="仿宋_GB2312" w:eastAsia="仿宋_GB2312" w:cs="仿宋_GB2312"/>
                <w:szCs w:val="21"/>
              </w:rPr>
            </w:pPr>
            <w:r>
              <w:rPr>
                <w:rFonts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trPr>
        <w:tc>
          <w:tcPr>
            <w:tcW w:w="646"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531"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供应链基础</w:t>
            </w:r>
          </w:p>
        </w:tc>
        <w:tc>
          <w:tcPr>
            <w:tcW w:w="6334" w:type="dxa"/>
            <w:vAlign w:val="center"/>
          </w:tcPr>
          <w:p>
            <w:pPr>
              <w:adjustRightInd w:val="0"/>
              <w:snapToGrid w:val="0"/>
              <w:spacing w:line="360" w:lineRule="exact"/>
              <w:ind w:firstLine="420" w:firstLineChars="200"/>
              <w:rPr>
                <w:rFonts w:ascii="仿宋_GB2312" w:hAnsi="仿宋_GB2312" w:eastAsia="仿宋_GB2312" w:cs="仿宋_GB2312"/>
                <w:color w:val="0000FF"/>
                <w:szCs w:val="21"/>
              </w:rPr>
            </w:pPr>
            <w:r>
              <w:rPr>
                <w:rFonts w:hint="eastAsia" w:ascii="仿宋_GB2312" w:hAnsi="仿宋_GB2312" w:eastAsia="仿宋_GB2312" w:cs="仿宋_GB2312"/>
                <w:szCs w:val="21"/>
              </w:rPr>
              <w:t>本课程是物流服务与管理专业必修的专业基础课程。本课程旨在让学生认识供应链，了解供应链设计策略，理解供应链运营的阻碍因素及驱动因素，理解供应链上下游企业合作关系的构建和管理方法、供应链管理信息技术、供应链绩效评价与激励机制、供应链的业务流程再造与组织结构等，使学生熟知供应链运营工作的基础理论和方法，深入理解供应链的本质内涵，熟练掌握供应链运营相关工作应具备的专业运营技能、运营方法和运营工具，全面提升供应链运营的技能与综合素质。</w:t>
            </w:r>
          </w:p>
        </w:tc>
        <w:tc>
          <w:tcPr>
            <w:tcW w:w="85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exact"/>
        </w:trPr>
        <w:tc>
          <w:tcPr>
            <w:tcW w:w="646"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531"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物流法律法规</w:t>
            </w:r>
          </w:p>
        </w:tc>
        <w:tc>
          <w:tcPr>
            <w:tcW w:w="6334" w:type="dxa"/>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基础课程。通过本课程的学习，使学生掌握物流法律法规的基本概念及相关的法律知识以及物流企业在物流活动中的法律责任，明确在物流活动中物流企业及相关人员应履行的法律义务和相应的权利。</w:t>
            </w:r>
          </w:p>
        </w:tc>
        <w:tc>
          <w:tcPr>
            <w:tcW w:w="85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exact"/>
        </w:trPr>
        <w:tc>
          <w:tcPr>
            <w:tcW w:w="646"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531"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智慧物流技术与实务</w:t>
            </w:r>
          </w:p>
        </w:tc>
        <w:tc>
          <w:tcPr>
            <w:tcW w:w="6334" w:type="dxa"/>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基础课程。通过学习各物流的基本原理、物流功能、物流企业规划职能等知识，使学生掌握物流活动中涉及的物流技术及操作流程，具备独立使用、操作物流技术和设备的能力。</w:t>
            </w:r>
          </w:p>
        </w:tc>
        <w:tc>
          <w:tcPr>
            <w:tcW w:w="85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2.专业核心课程</w:t>
      </w:r>
    </w:p>
    <w:p>
      <w:pPr>
        <w:pStyle w:val="4"/>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主要包括运输实务、仓储与配送实务、快递实务、叉车作业与管理等六门课程，是物流服务与管理专业学生学习专业技能和培养专业能力的必修课程。</w:t>
      </w:r>
    </w:p>
    <w:p>
      <w:pPr>
        <w:spacing w:after="156" w:afterLines="50" w:line="560" w:lineRule="exact"/>
        <w:jc w:val="center"/>
        <w:rPr>
          <w:rFonts w:ascii="黑体" w:hAnsi="黑体" w:eastAsia="黑体" w:cs="黑体"/>
          <w:sz w:val="24"/>
        </w:rPr>
      </w:pPr>
      <w:r>
        <w:rPr>
          <w:rFonts w:hint="eastAsia" w:ascii="黑体" w:hAnsi="黑体" w:eastAsia="黑体" w:cs="黑体"/>
          <w:sz w:val="24"/>
        </w:rPr>
        <w:t>表5  专业核心课程主要教学内容与要求</w:t>
      </w:r>
    </w:p>
    <w:tbl>
      <w:tblPr>
        <w:tblStyle w:val="15"/>
        <w:tblW w:w="9765"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528"/>
        <w:gridCol w:w="64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47"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528"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495"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095"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647"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528"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运输实务</w:t>
            </w:r>
          </w:p>
        </w:tc>
        <w:tc>
          <w:tcPr>
            <w:tcW w:w="6495" w:type="dxa"/>
            <w:vAlign w:val="center"/>
          </w:tcPr>
          <w:p>
            <w:pPr>
              <w:adjustRightInd w:val="0"/>
              <w:snapToGrid w:val="0"/>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核心课程。通过本课程学习，使学生了解主要物流交通网干线的布局，掌握不同物流运输方式的作业流程、物流运输组织与管理、物流运输决策、联合运输、运输相关法规、特殊货物运输、运输风险的分析与防范等相关知识与技能，使学生能够根据工作任务合理选择运输方式，制定工作计划，编制和办理各种运输单证。</w:t>
            </w:r>
          </w:p>
        </w:tc>
        <w:tc>
          <w:tcPr>
            <w:tcW w:w="1095" w:type="dxa"/>
            <w:vAlign w:val="center"/>
          </w:tcPr>
          <w:p>
            <w:pPr>
              <w:adjustRightInd w:val="0"/>
              <w:snapToGrid w:val="0"/>
              <w:spacing w:line="400" w:lineRule="exact"/>
              <w:jc w:val="center"/>
              <w:rPr>
                <w:rFonts w:ascii="仿宋_GB2312" w:hAnsi="仿宋_GB2312" w:eastAsia="仿宋_GB2312" w:cs="仿宋_GB2312"/>
                <w:szCs w:val="21"/>
              </w:rPr>
            </w:pPr>
            <w:r>
              <w:rPr>
                <w:rFonts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647"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528"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仓储与配送</w:t>
            </w:r>
          </w:p>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实务</w:t>
            </w:r>
          </w:p>
        </w:tc>
        <w:tc>
          <w:tcPr>
            <w:tcW w:w="6495" w:type="dxa"/>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核心课程。通过本课程学习，使学生了解仓储与配送的发展及趋势，了解智能仓的运营体系，理解仓储与配送的概念，掌握仓储与配送业务流程相关知识与技能，使学生能够独立或与人合作完成作业优化、入库作业、在库管理、响应客户投诉、进行配送路线设计等作业任务，培养学生具备仓储与配送相关岗位的操作与管理能力。</w:t>
            </w:r>
          </w:p>
        </w:tc>
        <w:tc>
          <w:tcPr>
            <w:tcW w:w="1095"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647"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528"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快递实务</w:t>
            </w:r>
          </w:p>
        </w:tc>
        <w:tc>
          <w:tcPr>
            <w:tcW w:w="6495" w:type="dxa"/>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核心课程。通过本课程学习，使学生了解快递的产生背景及发展历史，掌握快递业务基本流程、快递接单、快递收取、快递处理、快件派发和快件保险与处理等相关知识和技能，使学生具备从事快递服务工作的基本职业能力，具备诚实、守信、善于沟通合作、服务意识和自我管理能力。</w:t>
            </w:r>
          </w:p>
        </w:tc>
        <w:tc>
          <w:tcPr>
            <w:tcW w:w="1095"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647"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528"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叉车作业与</w:t>
            </w:r>
          </w:p>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管理</w:t>
            </w:r>
          </w:p>
        </w:tc>
        <w:tc>
          <w:tcPr>
            <w:tcW w:w="6495" w:type="dxa"/>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核心课程。通过本课程学习，使学生熟悉叉车的构造，掌握叉车驾驶技巧，掌握电动叉车充电、加蒸馏水等简单的维护与保养方法，了解高位叉车驾驶的注意事项。使学生能针对物流活动中不同的场地选择合适的高位叉车，能够熟练驾驶高位叉车进行高层托盘货架的货物叉取作业，能进行叉车的日常使用记录，能做好叉车维护保养记录，能及时进行叉车运行故障和事故记录。</w:t>
            </w:r>
          </w:p>
        </w:tc>
        <w:tc>
          <w:tcPr>
            <w:tcW w:w="1095"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r>
              <w:rPr>
                <w:rFonts w:ascii="仿宋_GB2312" w:hAnsi="仿宋_GB2312" w:eastAsia="仿宋_GB2312" w:cs="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647"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528"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国际货代实务</w:t>
            </w:r>
          </w:p>
        </w:tc>
        <w:tc>
          <w:tcPr>
            <w:tcW w:w="6495" w:type="dxa"/>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的专业核心课程。通过本课程学习，使学生熟悉有关国际货运及货运代理的国际公约、惯例和法律法规，掌握国际货运代理业务的经营范围、国际货物运输过程的实务流程、世界贸易主要航线、港口制作海陆空运单证、租船订舱、保险等知识和技能，使学生树立严谨的职业道德观，自觉维护国家和企业利益，具有较强的责任感和全局意识。</w:t>
            </w:r>
          </w:p>
        </w:tc>
        <w:tc>
          <w:tcPr>
            <w:tcW w:w="1095"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647"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528"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物流设施设备应用</w:t>
            </w:r>
          </w:p>
        </w:tc>
        <w:tc>
          <w:tcPr>
            <w:tcW w:w="6495" w:type="dxa"/>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的专业核心课程。通过本课程学习，使学生了解国内外物流装备的现状，掌握常见物流设备的基本结构和工作原理，使学生能合理选择物流设备进行作业，能够进行设备基础管理，规范操作常用物流设备，能对常用物流设备进行日常保养与维护，会叉车驾驶，使学生形成规范操作物流设备的习惯，提高对设备使用的安全和责任意识。</w:t>
            </w:r>
          </w:p>
        </w:tc>
        <w:tc>
          <w:tcPr>
            <w:tcW w:w="1095" w:type="dxa"/>
            <w:vAlign w:val="center"/>
          </w:tcPr>
          <w:p>
            <w:pPr>
              <w:adjustRightInd w:val="0"/>
              <w:snapToGrid w:val="0"/>
              <w:spacing w:line="400" w:lineRule="exact"/>
              <w:jc w:val="center"/>
              <w:rPr>
                <w:rFonts w:ascii="仿宋_GB2312" w:hAnsi="仿宋_GB2312" w:eastAsia="仿宋_GB2312" w:cs="仿宋_GB2312"/>
                <w:szCs w:val="21"/>
              </w:rPr>
            </w:pPr>
            <w:r>
              <w:rPr>
                <w:rFonts w:ascii="仿宋_GB2312" w:hAnsi="仿宋_GB2312" w:eastAsia="仿宋_GB2312" w:cs="仿宋_GB2312"/>
                <w:szCs w:val="21"/>
              </w:rPr>
              <w:t>72</w:t>
            </w:r>
          </w:p>
        </w:tc>
      </w:tr>
    </w:tbl>
    <w:p>
      <w:pPr>
        <w:pStyle w:val="4"/>
        <w:adjustRightInd w:val="0"/>
        <w:snapToGrid w:val="0"/>
        <w:spacing w:line="560" w:lineRule="exact"/>
        <w:ind w:firstLine="640"/>
        <w:jc w:val="left"/>
        <w:rPr>
          <w:rFonts w:ascii="楷体" w:hAnsi="楷体" w:eastAsia="楷体" w:cs="楷体"/>
          <w:sz w:val="32"/>
          <w:szCs w:val="32"/>
        </w:rPr>
      </w:pPr>
      <w:r>
        <w:rPr>
          <w:rFonts w:hint="eastAsia" w:ascii="楷体" w:hAnsi="楷体" w:eastAsia="楷体" w:cs="楷体"/>
          <w:sz w:val="32"/>
          <w:szCs w:val="32"/>
        </w:rPr>
        <w:t>3.专业拓展课程</w:t>
      </w:r>
    </w:p>
    <w:p>
      <w:pPr>
        <w:pStyle w:val="4"/>
        <w:adjustRightInd w:val="0"/>
        <w:snapToGrid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主要包括物流数据分析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客户服务与管理、物流成本核算等七门专业拓展课程。</w:t>
      </w:r>
    </w:p>
    <w:p>
      <w:pPr>
        <w:pStyle w:val="4"/>
        <w:snapToGrid w:val="0"/>
        <w:spacing w:line="520" w:lineRule="exact"/>
        <w:ind w:firstLine="0" w:firstLineChars="0"/>
        <w:jc w:val="center"/>
        <w:rPr>
          <w:rFonts w:ascii="黑体" w:hAnsi="黑体" w:eastAsia="黑体" w:cs="黑体"/>
          <w:sz w:val="24"/>
        </w:rPr>
      </w:pPr>
      <w:r>
        <w:rPr>
          <w:rFonts w:hint="eastAsia" w:ascii="黑体" w:hAnsi="黑体" w:eastAsia="黑体" w:cs="黑体"/>
          <w:sz w:val="24"/>
        </w:rPr>
        <w:t>表6 专业拓展课程主要教学内容与要求</w:t>
      </w:r>
    </w:p>
    <w:tbl>
      <w:tblPr>
        <w:tblStyle w:val="15"/>
        <w:tblW w:w="9770"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516"/>
        <w:gridCol w:w="6839"/>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47"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516"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839"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768"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47"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516"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物流数据分析</w:t>
            </w:r>
          </w:p>
        </w:tc>
        <w:tc>
          <w:tcPr>
            <w:tcW w:w="6839"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本课程是物流服务与管理专业必修的专业拓展课程。通过本课程学习，使学生了解</w:t>
            </w:r>
            <w:r>
              <w:rPr>
                <w:rFonts w:hint="eastAsia" w:ascii="宋体" w:hAnsi="宋体"/>
                <w:szCs w:val="21"/>
              </w:rPr>
              <w:t>EXCEL</w:t>
            </w:r>
            <w:r>
              <w:rPr>
                <w:rFonts w:hint="eastAsia" w:ascii="仿宋_GB2312" w:hAnsi="仿宋_GB2312" w:eastAsia="仿宋_GB2312" w:cs="仿宋_GB2312"/>
                <w:szCs w:val="21"/>
              </w:rPr>
              <w:t>的数据处理功能在物流管理环节应用的意义，掌握</w:t>
            </w:r>
            <w:r>
              <w:rPr>
                <w:rFonts w:hint="eastAsia" w:ascii="宋体" w:hAnsi="宋体"/>
                <w:szCs w:val="21"/>
              </w:rPr>
              <w:t>EXCEL</w:t>
            </w:r>
            <w:r>
              <w:rPr>
                <w:rFonts w:hint="eastAsia" w:ascii="仿宋_GB2312" w:hAnsi="仿宋_GB2312" w:eastAsia="仿宋_GB2312" w:cs="仿宋_GB2312"/>
                <w:szCs w:val="21"/>
              </w:rPr>
              <w:t>常用键的使用及快捷方式，掌握常用基本函数的使用，掌握如何制作表格及表格的美化，掌握利用</w:t>
            </w:r>
            <w:r>
              <w:rPr>
                <w:rFonts w:hint="eastAsia" w:ascii="宋体" w:hAnsi="宋体"/>
                <w:szCs w:val="21"/>
              </w:rPr>
              <w:t>EXCEL</w:t>
            </w:r>
            <w:r>
              <w:rPr>
                <w:rFonts w:hint="eastAsia" w:ascii="仿宋_GB2312" w:hAnsi="仿宋_GB2312" w:eastAsia="仿宋_GB2312" w:cs="仿宋_GB2312"/>
                <w:szCs w:val="21"/>
              </w:rPr>
              <w:t>进行物流管理分析的技巧，帮助中职学生了解物流管理信息系统，培养既精通物流服务与管理专业知识又精通计算机及数据处理技术的复合型人才。</w:t>
            </w:r>
          </w:p>
        </w:tc>
        <w:tc>
          <w:tcPr>
            <w:tcW w:w="768" w:type="dxa"/>
            <w:vAlign w:val="center"/>
          </w:tcPr>
          <w:p>
            <w:pPr>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647" w:type="dxa"/>
            <w:vAlign w:val="center"/>
          </w:tcPr>
          <w:p>
            <w:pPr>
              <w:adjustRightInd w:val="0"/>
              <w:snapToGrid w:val="0"/>
              <w:spacing w:line="40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w:t>
            </w:r>
          </w:p>
        </w:tc>
        <w:tc>
          <w:tcPr>
            <w:tcW w:w="1516"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客户服务与</w:t>
            </w:r>
          </w:p>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管理</w:t>
            </w:r>
          </w:p>
        </w:tc>
        <w:tc>
          <w:tcPr>
            <w:tcW w:w="6839"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本课程是物流服务与管理专业必修的专业拓展课程。本课程旨在让学生理解</w:t>
            </w:r>
            <w:r>
              <w:rPr>
                <w:rFonts w:ascii="仿宋_GB2312" w:hAnsi="仿宋_GB2312" w:eastAsia="仿宋_GB2312" w:cs="仿宋_GB2312"/>
                <w:szCs w:val="21"/>
              </w:rPr>
              <w:t>客户服务、客户管理</w:t>
            </w:r>
            <w:r>
              <w:rPr>
                <w:rFonts w:hint="eastAsia" w:ascii="仿宋_GB2312" w:hAnsi="仿宋_GB2312" w:eastAsia="仿宋_GB2312" w:cs="仿宋_GB2312"/>
                <w:szCs w:val="21"/>
              </w:rPr>
              <w:t>的基本知识，使学生能够熟悉线上线下立体的客户服务体系和管理体系，掌握客户画像和在线投诉处理技巧，</w:t>
            </w:r>
            <w:r>
              <w:rPr>
                <w:rFonts w:ascii="仿宋_GB2312" w:hAnsi="仿宋_GB2312" w:eastAsia="仿宋_GB2312" w:cs="仿宋_GB2312"/>
                <w:szCs w:val="21"/>
              </w:rPr>
              <w:t>能根据具体工作应用需求,运用客户管理理论,理解客户管理方案,并能初步设计客户管理方案。</w:t>
            </w:r>
          </w:p>
        </w:tc>
        <w:tc>
          <w:tcPr>
            <w:tcW w:w="768"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647" w:type="dxa"/>
            <w:vAlign w:val="center"/>
          </w:tcPr>
          <w:p>
            <w:pPr>
              <w:adjustRightInd w:val="0"/>
              <w:snapToGrid w:val="0"/>
              <w:spacing w:line="40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1516"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物流成本核算</w:t>
            </w:r>
          </w:p>
        </w:tc>
        <w:tc>
          <w:tcPr>
            <w:tcW w:w="6839"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拓展课程。课程主要内容包括物流成本管理的内容、物流成本计算和控制的基本方法、物流活动各个环节如运输、采购、仓储、配送、包装和装卸等的成本管理方法等。旨在通过本课程学习，使学生掌握成本管理理念、物流成本构成、物流成本分析、物流成本控制等理论，并利用相关理论进行综合分析、成本核算，找到切合企业的物流成本降低方法等。着重培养学生的成本意识和整体规划及布局能力，科学严谨的工作态度。</w:t>
            </w:r>
          </w:p>
        </w:tc>
        <w:tc>
          <w:tcPr>
            <w:tcW w:w="768"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647" w:type="dxa"/>
            <w:vAlign w:val="center"/>
          </w:tcPr>
          <w:p>
            <w:pPr>
              <w:adjustRightInd w:val="0"/>
              <w:snapToGrid w:val="0"/>
              <w:spacing w:line="40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1516"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物流单证实务</w:t>
            </w:r>
          </w:p>
        </w:tc>
        <w:tc>
          <w:tcPr>
            <w:tcW w:w="6839"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拓展课程。课程主要内容包括各种物流单证的填制、识读、制作和修改等内容。通过本课程学习，使学生能够学会物流服务与管理专业应具备的基木知识和基本技能，能确定运输线路和审核运价，了解运输保险、理赔的程序；能够准确填制、识读、制作和修改物流单证；能够进行具体物流运输合同的谈判和制作，着重培养学生梳理“以客户为中心”的服务理念，提高服务质量与客户满意。</w:t>
            </w:r>
          </w:p>
        </w:tc>
        <w:tc>
          <w:tcPr>
            <w:tcW w:w="768"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647" w:type="dxa"/>
            <w:vAlign w:val="center"/>
          </w:tcPr>
          <w:p>
            <w:pPr>
              <w:adjustRightInd w:val="0"/>
              <w:snapToGrid w:val="0"/>
              <w:spacing w:line="40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w:t>
            </w:r>
          </w:p>
        </w:tc>
        <w:tc>
          <w:tcPr>
            <w:tcW w:w="1516"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物流企业管理</w:t>
            </w:r>
          </w:p>
        </w:tc>
        <w:tc>
          <w:tcPr>
            <w:tcW w:w="6839"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本课程是物流服务与管理专业必修的专业拓展课程。通过学习企业的基础理论知识，掌握管理学的基本原理和基本方法，理解企业管理的基本职能预测与决策、计划与组织、领导与激励、沟通与控制等。</w:t>
            </w:r>
          </w:p>
        </w:tc>
        <w:tc>
          <w:tcPr>
            <w:tcW w:w="768"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7" w:type="dxa"/>
            <w:vAlign w:val="center"/>
          </w:tcPr>
          <w:p>
            <w:pPr>
              <w:adjustRightInd w:val="0"/>
              <w:snapToGrid w:val="0"/>
              <w:spacing w:line="40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c>
          <w:tcPr>
            <w:tcW w:w="1516"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物流信息技术</w:t>
            </w:r>
          </w:p>
        </w:tc>
        <w:tc>
          <w:tcPr>
            <w:tcW w:w="6839" w:type="dxa"/>
            <w:vAlign w:val="center"/>
          </w:tcPr>
          <w:p>
            <w:pPr>
              <w:adjustRightInd w:val="0"/>
              <w:snapToGrid w:val="0"/>
              <w:spacing w:line="36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是物流服务与管理专业必修的专业拓展课程。通过学习物流信息技术的原理，熟练使用各类物流信息设备，掌握各类物流信息系统的使用，而且能够进行较高层次的信息管理工作，进而对整个物流流程进行初步优化。</w:t>
            </w:r>
          </w:p>
        </w:tc>
        <w:tc>
          <w:tcPr>
            <w:tcW w:w="768"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7" w:type="dxa"/>
            <w:vAlign w:val="center"/>
          </w:tcPr>
          <w:p>
            <w:pPr>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1516" w:type="dxa"/>
            <w:vAlign w:val="center"/>
          </w:tcPr>
          <w:p>
            <w:pPr>
              <w:adjustRightInd w:val="0"/>
              <w:snapToGrid w:val="0"/>
              <w:spacing w:line="36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网店运营</w:t>
            </w:r>
          </w:p>
        </w:tc>
        <w:tc>
          <w:tcPr>
            <w:tcW w:w="6839" w:type="dxa"/>
            <w:vAlign w:val="top"/>
          </w:tcPr>
          <w:p>
            <w:pPr>
              <w:adjustRightInd w:val="0"/>
              <w:snapToGrid w:val="0"/>
              <w:spacing w:line="360" w:lineRule="exact"/>
              <w:ind w:firstLine="420" w:firstLineChars="200"/>
              <w:jc w:val="left"/>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本课程是物流服务与管理专业必修的专业拓展课程。主要面向网络编辑、网店美工、网店客服等岗位(群),完成商品上传与维护、营销活动设置、日常订单管理、首页设计与制作、详情页设计与制作、自定义页设计与制作、客户问题处理、交易促成以及客户关系维护等工作任务，具备网店开设与装修、客户服务能力。</w:t>
            </w:r>
          </w:p>
        </w:tc>
        <w:tc>
          <w:tcPr>
            <w:tcW w:w="768" w:type="dxa"/>
            <w:vAlign w:val="center"/>
          </w:tcPr>
          <w:p>
            <w:pPr>
              <w:adjustRightInd w:val="0"/>
              <w:snapToGrid w:val="0"/>
              <w:spacing w:line="400" w:lineRule="exact"/>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54</w:t>
            </w:r>
          </w:p>
        </w:tc>
      </w:tr>
    </w:tbl>
    <w:p>
      <w:pPr>
        <w:pStyle w:val="4"/>
        <w:adjustRightInd w:val="0"/>
        <w:snapToGrid w:val="0"/>
        <w:spacing w:line="560" w:lineRule="exact"/>
        <w:ind w:firstLine="640"/>
        <w:jc w:val="left"/>
        <w:rPr>
          <w:rFonts w:ascii="楷体" w:hAnsi="楷体" w:eastAsia="楷体" w:cs="楷体"/>
          <w:sz w:val="32"/>
          <w:szCs w:val="32"/>
        </w:rPr>
      </w:pPr>
      <w:r>
        <w:rPr>
          <w:rFonts w:hint="eastAsia" w:ascii="楷体" w:hAnsi="楷体" w:eastAsia="楷体" w:cs="楷体"/>
          <w:sz w:val="32"/>
          <w:szCs w:val="32"/>
        </w:rPr>
        <w:t>4.实习实训</w:t>
      </w:r>
    </w:p>
    <w:p>
      <w:pPr>
        <w:pStyle w:val="4"/>
        <w:adjustRightInd w:val="0"/>
        <w:snapToGrid w:val="0"/>
        <w:spacing w:line="560" w:lineRule="exact"/>
        <w:ind w:firstLine="640"/>
        <w:jc w:val="left"/>
        <w:rPr>
          <w:rFonts w:ascii="黑体" w:hAnsi="黑体" w:eastAsia="黑体" w:cs="黑体"/>
          <w:sz w:val="28"/>
          <w:szCs w:val="28"/>
        </w:rPr>
      </w:pPr>
      <w:r>
        <w:rPr>
          <w:rFonts w:hint="eastAsia" w:ascii="仿宋_GB2312" w:hAnsi="仿宋_GB2312" w:eastAsia="仿宋_GB2312" w:cs="仿宋_GB2312"/>
          <w:sz w:val="32"/>
          <w:szCs w:val="32"/>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物流服务与管理专业岗位实习标准》，保证学生实习岗位与其所学专业面向的岗位（群）基本一致，内容符合标准要求。</w:t>
      </w:r>
    </w:p>
    <w:p>
      <w:pPr>
        <w:pStyle w:val="4"/>
        <w:adjustRightInd w:val="0"/>
        <w:snapToGrid w:val="0"/>
        <w:spacing w:line="500" w:lineRule="exact"/>
        <w:ind w:firstLine="0" w:firstLineChars="0"/>
        <w:jc w:val="center"/>
        <w:rPr>
          <w:rFonts w:ascii="仿宋" w:hAnsi="仿宋" w:eastAsia="仿宋" w:cs="仿宋"/>
          <w:sz w:val="24"/>
        </w:rPr>
      </w:pPr>
      <w:r>
        <w:rPr>
          <w:rFonts w:hint="eastAsia" w:ascii="黑体" w:hAnsi="黑体" w:eastAsia="黑体" w:cs="黑体"/>
          <w:sz w:val="24"/>
        </w:rPr>
        <w:t>表7  实习实训主要教学内容与要求</w:t>
      </w:r>
    </w:p>
    <w:tbl>
      <w:tblPr>
        <w:tblStyle w:val="15"/>
        <w:tblW w:w="9343"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44"/>
        <w:gridCol w:w="4130"/>
        <w:gridCol w:w="1173"/>
        <w:gridCol w:w="1173"/>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144" w:type="dxa"/>
            <w:vAlign w:val="center"/>
          </w:tcPr>
          <w:p>
            <w:pPr>
              <w:jc w:val="center"/>
              <w:rPr>
                <w:rFonts w:ascii="黑体" w:hAnsi="黑体" w:eastAsia="黑体" w:cs="黑体"/>
                <w:szCs w:val="21"/>
              </w:rPr>
            </w:pPr>
            <w:r>
              <w:rPr>
                <w:rFonts w:hint="eastAsia" w:ascii="黑体" w:hAnsi="黑体" w:eastAsia="黑体" w:cs="黑体"/>
                <w:szCs w:val="21"/>
              </w:rPr>
              <w:t>项目</w:t>
            </w:r>
          </w:p>
        </w:tc>
        <w:tc>
          <w:tcPr>
            <w:tcW w:w="4130"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73" w:type="dxa"/>
            <w:vAlign w:val="center"/>
          </w:tcPr>
          <w:p>
            <w:pPr>
              <w:jc w:val="center"/>
              <w:rPr>
                <w:rFonts w:ascii="黑体" w:hAnsi="黑体" w:eastAsia="黑体" w:cs="黑体"/>
                <w:szCs w:val="21"/>
              </w:rPr>
            </w:pPr>
            <w:r>
              <w:rPr>
                <w:rFonts w:hint="eastAsia" w:ascii="黑体" w:hAnsi="黑体" w:eastAsia="黑体" w:cs="黑体"/>
                <w:szCs w:val="21"/>
              </w:rPr>
              <w:t>地点</w:t>
            </w:r>
          </w:p>
        </w:tc>
        <w:tc>
          <w:tcPr>
            <w:tcW w:w="1173" w:type="dxa"/>
            <w:vAlign w:val="center"/>
          </w:tcPr>
          <w:p>
            <w:pPr>
              <w:jc w:val="center"/>
              <w:rPr>
                <w:rFonts w:ascii="黑体" w:hAnsi="黑体" w:eastAsia="黑体" w:cs="黑体"/>
                <w:szCs w:val="21"/>
              </w:rPr>
            </w:pPr>
            <w:r>
              <w:rPr>
                <w:rFonts w:hint="eastAsia" w:ascii="黑体" w:hAnsi="黑体" w:eastAsia="黑体" w:cs="黑体"/>
                <w:szCs w:val="21"/>
              </w:rPr>
              <w:t>学期</w:t>
            </w:r>
          </w:p>
        </w:tc>
        <w:tc>
          <w:tcPr>
            <w:tcW w:w="1033" w:type="dxa"/>
            <w:vAlign w:val="center"/>
          </w:tcPr>
          <w:p>
            <w:pPr>
              <w:ind w:firstLine="210" w:firstLineChars="100"/>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69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44" w:type="dxa"/>
            <w:vAlign w:val="center"/>
          </w:tcPr>
          <w:p>
            <w:pPr>
              <w:adjustRightInd w:val="0"/>
              <w:snapToGrid w:val="0"/>
              <w:spacing w:line="3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认识实习</w:t>
            </w:r>
          </w:p>
        </w:tc>
        <w:tc>
          <w:tcPr>
            <w:tcW w:w="413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通过组织学生到实习单位参观、和体验等方式，使学生了解仓储、运输、配送等岗位的工作环境和要求，增强对未来职业岗位的感性认识，激发学生专业兴趣和培养专业情感。</w:t>
            </w:r>
          </w:p>
        </w:tc>
        <w:tc>
          <w:tcPr>
            <w:tcW w:w="1173"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物流企业</w:t>
            </w:r>
          </w:p>
        </w:tc>
        <w:tc>
          <w:tcPr>
            <w:tcW w:w="1173"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第1学期</w:t>
            </w:r>
          </w:p>
        </w:tc>
        <w:tc>
          <w:tcPr>
            <w:tcW w:w="1033"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690"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44" w:type="dxa"/>
            <w:vAlign w:val="center"/>
          </w:tcPr>
          <w:p>
            <w:pPr>
              <w:adjustRightInd w:val="0"/>
              <w:snapToGrid w:val="0"/>
              <w:spacing w:line="340" w:lineRule="exact"/>
              <w:rPr>
                <w:rFonts w:ascii="仿宋_GB2312" w:hAnsi="仿宋_GB2312" w:eastAsia="仿宋_GB2312" w:cs="仿宋_GB2312"/>
                <w:szCs w:val="21"/>
              </w:rPr>
            </w:pPr>
            <w:r>
              <w:rPr>
                <w:rFonts w:hint="eastAsia" w:ascii="仿宋_GB2312" w:hAnsi="仿宋_GB2312" w:eastAsia="仿宋_GB2312" w:cs="仿宋_GB2312"/>
                <w:szCs w:val="21"/>
              </w:rPr>
              <w:t>物流作业任务优化综合实训</w:t>
            </w:r>
          </w:p>
        </w:tc>
        <w:tc>
          <w:tcPr>
            <w:tcW w:w="4130" w:type="dxa"/>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物流作业任务优化综合实训，使学生掌握物流中心平面规划，物品出入库数量及金额统计，库存结余及金额计算，货架存储图编制，物动量计算及物品分类，移库作业与组托入库计划表的编制，出库拣选计划表与补货作业计划的编制、配送路线选择及运输作业优化等技能，具备根据具体的物流作业情景，进行货位优化及制定物品入库方案的能力，能够进行订单处理及生成拣选单，能进行配送路线优化方案，编制可实施的储配作业计划，全面提升学生解决实训中遇到的实际问题能力。</w:t>
            </w:r>
          </w:p>
        </w:tc>
        <w:tc>
          <w:tcPr>
            <w:tcW w:w="1173"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物流电商</w:t>
            </w:r>
          </w:p>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p>
        </w:tc>
        <w:tc>
          <w:tcPr>
            <w:tcW w:w="1173"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1033"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trPr>
        <w:tc>
          <w:tcPr>
            <w:tcW w:w="690"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44" w:type="dxa"/>
            <w:vAlign w:val="center"/>
          </w:tcPr>
          <w:p>
            <w:pPr>
              <w:adjustRightInd w:val="0"/>
              <w:snapToGrid w:val="0"/>
              <w:spacing w:line="3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现代物流综合作业实训</w:t>
            </w:r>
          </w:p>
        </w:tc>
        <w:tc>
          <w:tcPr>
            <w:tcW w:w="413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通过现代物流综合作业实训，使学生掌握入库、在库、移库、补货、盘点、出库、运输、配送等工作流程，会操作各种仓储、运输系统与设备，以及会对各种设备进行保养、检测。通过本课程学习，使学生能够</w:t>
            </w:r>
            <w:r>
              <w:rPr>
                <w:rFonts w:ascii="仿宋_GB2312" w:hAnsi="仿宋_GB2312" w:eastAsia="仿宋_GB2312" w:cs="仿宋_GB2312"/>
                <w:szCs w:val="21"/>
              </w:rPr>
              <w:t>根据托盘和货物包装规格，设计合理的</w:t>
            </w:r>
            <w:r>
              <w:rPr>
                <w:rFonts w:hint="eastAsia" w:ascii="仿宋_GB2312" w:hAnsi="仿宋_GB2312" w:eastAsia="仿宋_GB2312" w:cs="仿宋_GB2312"/>
                <w:szCs w:val="21"/>
              </w:rPr>
              <w:t>堆码方式，并完成托盘码放</w:t>
            </w:r>
            <w:r>
              <w:rPr>
                <w:rFonts w:ascii="仿宋_GB2312" w:hAnsi="仿宋_GB2312" w:eastAsia="仿宋_GB2312" w:cs="仿宋_GB2312"/>
                <w:szCs w:val="21"/>
              </w:rPr>
              <w:t>示意图绘制</w:t>
            </w:r>
            <w:r>
              <w:rPr>
                <w:rFonts w:hint="eastAsia" w:ascii="仿宋_GB2312" w:hAnsi="仿宋_GB2312" w:eastAsia="仿宋_GB2312" w:cs="仿宋_GB2312"/>
                <w:szCs w:val="21"/>
              </w:rPr>
              <w:t>；能</w:t>
            </w:r>
            <w:r>
              <w:rPr>
                <w:rFonts w:ascii="仿宋_GB2312" w:hAnsi="仿宋_GB2312" w:eastAsia="仿宋_GB2312" w:cs="仿宋_GB2312"/>
                <w:szCs w:val="21"/>
              </w:rPr>
              <w:t>根据</w:t>
            </w:r>
            <w:r>
              <w:rPr>
                <w:rFonts w:hint="eastAsia" w:ascii="仿宋_GB2312" w:hAnsi="仿宋_GB2312" w:eastAsia="仿宋_GB2312" w:cs="仿宋_GB2312"/>
                <w:szCs w:val="21"/>
              </w:rPr>
              <w:t>拣货单，完成拣货任务；能根据运输单据，完成运输相关业务。</w:t>
            </w:r>
          </w:p>
        </w:tc>
        <w:tc>
          <w:tcPr>
            <w:tcW w:w="1173"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物流仓储</w:t>
            </w:r>
          </w:p>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p>
        </w:tc>
        <w:tc>
          <w:tcPr>
            <w:tcW w:w="1173"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1033"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9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44" w:type="dxa"/>
            <w:vAlign w:val="center"/>
          </w:tcPr>
          <w:p>
            <w:pPr>
              <w:adjustRightInd w:val="0"/>
              <w:snapToGrid w:val="0"/>
              <w:spacing w:line="3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4130" w:type="dxa"/>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岗位实习，了解企业的组织架构、规章制度、企业文化和安全生产基本知识，运用所学专业知识和技能，进行仓储、运输、配送等相关岗位的实践，提升专业技能和工作能力。初步形成良好的职业道德意识和行为规范，学会沟通交流和团队协作，提高社会适应能力，为今后真正走上工作岗位打下坚实的基础。</w:t>
            </w:r>
          </w:p>
        </w:tc>
        <w:tc>
          <w:tcPr>
            <w:tcW w:w="1173" w:type="dxa"/>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实习单位</w:t>
            </w:r>
          </w:p>
        </w:tc>
        <w:tc>
          <w:tcPr>
            <w:tcW w:w="1173"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第5-6</w:t>
            </w:r>
          </w:p>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学期</w:t>
            </w:r>
          </w:p>
        </w:tc>
        <w:tc>
          <w:tcPr>
            <w:tcW w:w="1033" w:type="dxa"/>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r>
    </w:tbl>
    <w:p>
      <w:pPr>
        <w:pStyle w:val="13"/>
        <w:adjustRightInd w:val="0"/>
        <w:snapToGrid w:val="0"/>
        <w:spacing w:before="0" w:beforeAutospacing="0" w:after="0" w:afterAutospacing="0" w:line="560" w:lineRule="exact"/>
        <w:ind w:firstLine="640" w:firstLineChars="200"/>
        <w:rPr>
          <w:rFonts w:hint="eastAsia" w:ascii="黑体" w:hAnsi="黑体" w:eastAsia="黑体" w:cs="黑体"/>
          <w:kern w:val="0"/>
          <w:sz w:val="32"/>
          <w:szCs w:val="32"/>
          <w:shd w:val="clear" w:color="auto" w:fill="FFFFFF"/>
          <w:lang w:bidi="ar"/>
        </w:rPr>
      </w:pPr>
    </w:p>
    <w:p>
      <w:pPr>
        <w:pStyle w:val="13"/>
        <w:adjustRightInd w:val="0"/>
        <w:snapToGrid w:val="0"/>
        <w:spacing w:before="0" w:beforeAutospacing="0" w:after="0" w:afterAutospacing="0" w:line="560" w:lineRule="exact"/>
        <w:ind w:firstLine="640" w:firstLineChars="200"/>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九、教学进程总体安排</w:t>
      </w:r>
    </w:p>
    <w:p>
      <w:pPr>
        <w:numPr>
          <w:ilvl w:val="0"/>
          <w:numId w:val="1"/>
        </w:numPr>
        <w:autoSpaceDE w:val="0"/>
        <w:autoSpaceDN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autoSpaceDE w:val="0"/>
        <w:autoSpaceDN w:val="0"/>
        <w:adjustRightInd w:val="0"/>
        <w:spacing w:line="560" w:lineRule="exact"/>
        <w:ind w:firstLine="640" w:firstLineChars="200"/>
        <w:rPr>
          <w:rFonts w:ascii="黑体" w:hAnsi="黑体" w:eastAsia="黑体" w:cs="黑体"/>
          <w:kern w:val="0"/>
          <w:sz w:val="32"/>
          <w:szCs w:val="32"/>
          <w:shd w:val="clear" w:color="auto" w:fill="FFFFFF"/>
          <w:lang w:bidi="ar"/>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numPr>
          <w:ilvl w:val="0"/>
          <w:numId w:val="1"/>
        </w:numPr>
        <w:autoSpaceDE w:val="0"/>
        <w:autoSpaceDN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教学时间安排</w:t>
      </w:r>
    </w:p>
    <w:p>
      <w:pPr>
        <w:pStyle w:val="4"/>
        <w:adjustRightInd w:val="0"/>
        <w:snapToGrid w:val="0"/>
        <w:spacing w:line="560" w:lineRule="exact"/>
        <w:ind w:firstLine="0" w:firstLineChars="0"/>
        <w:jc w:val="center"/>
        <w:rPr>
          <w:rFonts w:ascii="楷体" w:hAnsi="楷体" w:eastAsia="楷体" w:cs="楷体"/>
          <w:sz w:val="32"/>
          <w:szCs w:val="32"/>
        </w:rPr>
      </w:pPr>
      <w:r>
        <w:rPr>
          <w:rFonts w:hint="eastAsia" w:ascii="黑体" w:hAnsi="黑体" w:eastAsia="黑体" w:cs="黑体"/>
          <w:sz w:val="24"/>
        </w:rPr>
        <w:t>表8  学年教学时间安排</w:t>
      </w:r>
    </w:p>
    <w:tbl>
      <w:tblPr>
        <w:tblStyle w:val="15"/>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spacing w:line="360" w:lineRule="exact"/>
              <w:ind w:firstLine="840" w:firstLineChars="400"/>
              <w:rPr>
                <w:rFonts w:ascii="黑体" w:hAnsi="黑体" w:eastAsia="黑体" w:cs="仿宋_GB2312"/>
                <w:szCs w:val="21"/>
              </w:rPr>
            </w:pPr>
            <w:r>
              <w:rPr>
                <w:rFonts w:hint="eastAsia" w:ascii="黑体" w:hAnsi="黑体" w:eastAsia="黑体" w:cs="仿宋_GB2312"/>
                <w:szCs w:val="21"/>
              </w:rPr>
              <mc:AlternateContent>
                <mc:Choice Requires="wps">
                  <w:drawing>
                    <wp:anchor distT="0" distB="0" distL="114300" distR="114300" simplePos="0" relativeHeight="251678720"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78720;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仿宋_GB2312"/>
                <w:szCs w:val="21"/>
              </w:rPr>
              <w:t>内容</w:t>
            </w:r>
          </w:p>
          <w:p>
            <w:pPr>
              <w:spacing w:line="360" w:lineRule="exact"/>
              <w:ind w:firstLine="420" w:firstLineChars="200"/>
              <w:rPr>
                <w:rFonts w:ascii="黑体" w:hAnsi="黑体" w:eastAsia="黑体" w:cs="仿宋_GB2312"/>
                <w:szCs w:val="21"/>
              </w:rPr>
            </w:pPr>
            <w:r>
              <w:rPr>
                <w:rFonts w:hint="eastAsia" w:ascii="黑体" w:hAnsi="黑体" w:eastAsia="黑体" w:cs="仿宋_GB2312"/>
                <w:szCs w:val="21"/>
              </w:rPr>
              <mc:AlternateContent>
                <mc:Choice Requires="wps">
                  <w:drawing>
                    <wp:anchor distT="0" distB="0" distL="114300" distR="114300" simplePos="0" relativeHeight="251680768"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0768;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仿宋_GB2312"/>
                <w:szCs w:val="21"/>
              </w:rPr>
              <w:t>周数</w:t>
            </w:r>
          </w:p>
          <w:p>
            <w:pPr>
              <w:spacing w:line="360" w:lineRule="exact"/>
              <w:rPr>
                <w:rFonts w:ascii="黑体" w:hAnsi="黑体" w:eastAsia="黑体" w:cs="仿宋_GB2312"/>
                <w:szCs w:val="21"/>
              </w:rPr>
            </w:pPr>
            <w:r>
              <w:rPr>
                <w:rFonts w:hint="eastAsia" w:ascii="黑体" w:hAnsi="黑体" w:eastAsia="黑体" w:cs="仿宋_GB2312"/>
                <w:szCs w:val="21"/>
              </w:rPr>
              <w:t>学年</w:t>
            </w:r>
          </w:p>
        </w:tc>
        <w:tc>
          <w:tcPr>
            <w:tcW w:w="3473" w:type="dxa"/>
            <w:vAlign w:val="center"/>
          </w:tcPr>
          <w:p>
            <w:pPr>
              <w:spacing w:line="360" w:lineRule="exact"/>
              <w:jc w:val="center"/>
              <w:rPr>
                <w:rFonts w:ascii="黑体" w:hAnsi="黑体" w:eastAsia="黑体" w:cs="仿宋_GB2312"/>
                <w:szCs w:val="21"/>
              </w:rPr>
            </w:pPr>
            <w:r>
              <w:rPr>
                <w:rFonts w:hint="eastAsia" w:ascii="黑体" w:hAnsi="黑体" w:eastAsia="黑体" w:cs="仿宋_GB2312"/>
                <w:szCs w:val="21"/>
              </w:rPr>
              <w:t>教学（含理实一体教学</w:t>
            </w:r>
          </w:p>
          <w:p>
            <w:pPr>
              <w:spacing w:line="360" w:lineRule="exact"/>
              <w:jc w:val="center"/>
              <w:rPr>
                <w:rFonts w:ascii="黑体" w:hAnsi="黑体" w:eastAsia="黑体" w:cs="仿宋_GB2312"/>
                <w:szCs w:val="21"/>
              </w:rPr>
            </w:pPr>
            <w:r>
              <w:rPr>
                <w:rFonts w:hint="eastAsia" w:ascii="黑体" w:hAnsi="黑体" w:eastAsia="黑体" w:cs="仿宋_GB2312"/>
                <w:szCs w:val="21"/>
              </w:rPr>
              <w:t>及专门化集中实训）</w:t>
            </w:r>
          </w:p>
        </w:tc>
        <w:tc>
          <w:tcPr>
            <w:tcW w:w="1425" w:type="dxa"/>
            <w:vAlign w:val="center"/>
          </w:tcPr>
          <w:p>
            <w:pPr>
              <w:spacing w:line="360" w:lineRule="exact"/>
              <w:jc w:val="center"/>
              <w:rPr>
                <w:rFonts w:ascii="黑体" w:hAnsi="黑体" w:eastAsia="黑体" w:cs="仿宋_GB2312"/>
                <w:szCs w:val="21"/>
              </w:rPr>
            </w:pPr>
            <w:r>
              <w:rPr>
                <w:rFonts w:hint="eastAsia" w:ascii="黑体" w:hAnsi="黑体" w:eastAsia="黑体" w:cs="仿宋_GB2312"/>
                <w:szCs w:val="21"/>
              </w:rPr>
              <w:t>复习考试</w:t>
            </w:r>
          </w:p>
        </w:tc>
        <w:tc>
          <w:tcPr>
            <w:tcW w:w="1031" w:type="dxa"/>
            <w:vAlign w:val="center"/>
          </w:tcPr>
          <w:p>
            <w:pPr>
              <w:spacing w:line="360" w:lineRule="exact"/>
              <w:jc w:val="center"/>
              <w:rPr>
                <w:rFonts w:ascii="黑体" w:hAnsi="黑体" w:eastAsia="黑体" w:cs="仿宋_GB2312"/>
                <w:szCs w:val="21"/>
              </w:rPr>
            </w:pPr>
            <w:r>
              <w:rPr>
                <w:rFonts w:hint="eastAsia" w:ascii="黑体" w:hAnsi="黑体" w:eastAsia="黑体" w:cs="仿宋_GB2312"/>
                <w:szCs w:val="21"/>
              </w:rPr>
              <w:t>机动</w:t>
            </w:r>
          </w:p>
        </w:tc>
        <w:tc>
          <w:tcPr>
            <w:tcW w:w="926" w:type="dxa"/>
            <w:vAlign w:val="center"/>
          </w:tcPr>
          <w:p>
            <w:pPr>
              <w:spacing w:line="360" w:lineRule="exact"/>
              <w:jc w:val="center"/>
              <w:rPr>
                <w:rFonts w:ascii="黑体" w:hAnsi="黑体" w:eastAsia="黑体" w:cs="仿宋_GB2312"/>
                <w:szCs w:val="21"/>
              </w:rPr>
            </w:pPr>
            <w:r>
              <w:rPr>
                <w:rFonts w:hint="eastAsia" w:ascii="黑体" w:hAnsi="黑体" w:eastAsia="黑体" w:cs="仿宋_GB2312"/>
                <w:szCs w:val="21"/>
              </w:rPr>
              <w:t>假期</w:t>
            </w:r>
          </w:p>
        </w:tc>
        <w:tc>
          <w:tcPr>
            <w:tcW w:w="1085" w:type="dxa"/>
            <w:vAlign w:val="center"/>
          </w:tcPr>
          <w:p>
            <w:pPr>
              <w:spacing w:line="360" w:lineRule="exact"/>
              <w:jc w:val="center"/>
              <w:rPr>
                <w:rFonts w:ascii="黑体" w:hAnsi="黑体" w:eastAsia="黑体" w:cs="仿宋_GB2312"/>
                <w:szCs w:val="21"/>
              </w:rPr>
            </w:pPr>
            <w:r>
              <w:rPr>
                <w:rFonts w:hint="eastAsia" w:ascii="黑体" w:hAnsi="黑体" w:eastAsia="黑体" w:cs="仿宋_GB2312"/>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rPr>
          <w:rFonts w:ascii="楷体" w:hAnsi="楷体" w:eastAsia="楷体" w:cs="楷体"/>
          <w:sz w:val="32"/>
          <w:szCs w:val="32"/>
        </w:rPr>
      </w:pPr>
    </w:p>
    <w:p>
      <w:pPr>
        <w:adjustRightInd w:val="0"/>
        <w:snapToGrid w:val="0"/>
        <w:spacing w:line="580" w:lineRule="exact"/>
        <w:rPr>
          <w:rFonts w:ascii="楷体" w:hAnsi="楷体" w:eastAsia="楷体" w:cs="楷体"/>
          <w:sz w:val="32"/>
          <w:szCs w:val="32"/>
        </w:rPr>
        <w:sectPr>
          <w:headerReference r:id="rId7" w:type="default"/>
          <w:footerReference r:id="rId8" w:type="default"/>
          <w:pgSz w:w="11906" w:h="16838"/>
          <w:pgMar w:top="2041" w:right="1531" w:bottom="1984" w:left="1531" w:header="851" w:footer="992" w:gutter="0"/>
          <w:pgNumType w:fmt="numberInDash"/>
          <w:cols w:space="720" w:num="1"/>
          <w:docGrid w:type="lines" w:linePitch="312" w:charSpace="0"/>
        </w:sectPr>
      </w:pPr>
    </w:p>
    <w:p>
      <w:pPr>
        <w:numPr>
          <w:ilvl w:val="0"/>
          <w:numId w:val="1"/>
        </w:numPr>
        <w:adjustRightInd w:val="0"/>
        <w:snapToGri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教学进程安排表</w:t>
      </w:r>
    </w:p>
    <w:p>
      <w:pPr>
        <w:adjustRightInd w:val="0"/>
        <w:snapToGrid w:val="0"/>
        <w:spacing w:line="560" w:lineRule="exact"/>
        <w:ind w:left="420" w:leftChars="200"/>
        <w:jc w:val="center"/>
        <w:rPr>
          <w:rFonts w:ascii="楷体" w:hAnsi="楷体" w:eastAsia="楷体" w:cs="楷体"/>
          <w:sz w:val="32"/>
          <w:szCs w:val="32"/>
        </w:rPr>
      </w:pPr>
      <w:r>
        <w:rPr>
          <w:rFonts w:hint="eastAsia" w:ascii="黑体" w:hAnsi="黑体" w:eastAsia="黑体" w:cs="黑体"/>
          <w:sz w:val="24"/>
        </w:rPr>
        <w:t>表9  物流服务与管理专业教学进程安排表</w:t>
      </w:r>
    </w:p>
    <w:tbl>
      <w:tblPr>
        <w:tblStyle w:val="15"/>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tblHeader/>
          <w:jc w:val="center"/>
        </w:trPr>
        <w:tc>
          <w:tcPr>
            <w:tcW w:w="1102" w:type="dxa"/>
            <w:gridSpan w:val="2"/>
            <w:vMerge w:val="restart"/>
            <w:tcBorders>
              <w:top w:val="single" w:color="auto" w:sz="4" w:space="0"/>
              <w:left w:val="single" w:color="auto" w:sz="4" w:space="0"/>
            </w:tcBorders>
            <w:vAlign w:val="center"/>
          </w:tcPr>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课程</w:t>
            </w:r>
          </w:p>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类别</w:t>
            </w:r>
          </w:p>
        </w:tc>
        <w:tc>
          <w:tcPr>
            <w:tcW w:w="814" w:type="dxa"/>
            <w:vMerge w:val="restart"/>
            <w:tcBorders>
              <w:top w:val="single" w:color="auto" w:sz="4" w:space="0"/>
            </w:tcBorders>
            <w:vAlign w:val="center"/>
          </w:tcPr>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序号</w:t>
            </w:r>
          </w:p>
        </w:tc>
        <w:tc>
          <w:tcPr>
            <w:tcW w:w="2528" w:type="dxa"/>
            <w:vMerge w:val="restart"/>
            <w:tcBorders>
              <w:top w:val="single" w:color="auto" w:sz="4" w:space="0"/>
            </w:tcBorders>
            <w:vAlign w:val="center"/>
          </w:tcPr>
          <w:p>
            <w:pPr>
              <w:pStyle w:val="21"/>
              <w:adjustRightInd w:val="0"/>
              <w:snapToGrid w:val="0"/>
              <w:spacing w:line="240" w:lineRule="exact"/>
              <w:rPr>
                <w:rFonts w:ascii="黑体" w:hAnsi="黑体" w:eastAsia="黑体" w:cs="仿宋_GB2312"/>
                <w:sz w:val="21"/>
                <w:szCs w:val="21"/>
              </w:rPr>
            </w:pPr>
            <w:r>
              <w:rPr>
                <w:rFonts w:hint="eastAsia" w:ascii="黑体" w:hAnsi="黑体" w:eastAsia="黑体" w:cs="仿宋_GB2312"/>
                <w:sz w:val="21"/>
                <w:szCs w:val="21"/>
              </w:rPr>
              <w:t>课程名称</w:t>
            </w:r>
          </w:p>
        </w:tc>
        <w:tc>
          <w:tcPr>
            <w:tcW w:w="1730" w:type="dxa"/>
            <w:vMerge w:val="restart"/>
            <w:tcBorders>
              <w:top w:val="single" w:color="auto" w:sz="4" w:space="0"/>
            </w:tcBorders>
            <w:vAlign w:val="center"/>
          </w:tcPr>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课程代码</w:t>
            </w:r>
          </w:p>
        </w:tc>
        <w:tc>
          <w:tcPr>
            <w:tcW w:w="2505" w:type="dxa"/>
            <w:gridSpan w:val="3"/>
            <w:vMerge w:val="restart"/>
            <w:tcBorders>
              <w:top w:val="single" w:color="auto" w:sz="4" w:space="0"/>
            </w:tcBorders>
            <w:vAlign w:val="center"/>
          </w:tcPr>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学时分配</w:t>
            </w:r>
          </w:p>
        </w:tc>
        <w:tc>
          <w:tcPr>
            <w:tcW w:w="825" w:type="dxa"/>
            <w:vMerge w:val="restart"/>
            <w:tcBorders>
              <w:top w:val="single" w:color="auto" w:sz="4" w:space="0"/>
            </w:tcBorders>
            <w:vAlign w:val="center"/>
          </w:tcPr>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学分</w:t>
            </w:r>
          </w:p>
        </w:tc>
        <w:tc>
          <w:tcPr>
            <w:tcW w:w="690" w:type="dxa"/>
            <w:vMerge w:val="restart"/>
            <w:tcBorders>
              <w:top w:val="single" w:color="auto" w:sz="4" w:space="0"/>
            </w:tcBorders>
            <w:vAlign w:val="center"/>
          </w:tcPr>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考核</w:t>
            </w:r>
          </w:p>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方式</w:t>
            </w:r>
          </w:p>
        </w:tc>
        <w:tc>
          <w:tcPr>
            <w:tcW w:w="4500" w:type="dxa"/>
            <w:gridSpan w:val="6"/>
            <w:tcBorders>
              <w:top w:val="single" w:color="auto" w:sz="4" w:space="0"/>
              <w:bottom w:val="single" w:color="auto" w:sz="4" w:space="0"/>
            </w:tcBorders>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按学年、学期教学进程安排</w:t>
            </w:r>
          </w:p>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黑体" w:hAnsi="黑体" w:eastAsia="黑体" w:cs="仿宋_GB2312"/>
                <w:szCs w:val="21"/>
              </w:rPr>
            </w:pPr>
          </w:p>
        </w:tc>
        <w:tc>
          <w:tcPr>
            <w:tcW w:w="814" w:type="dxa"/>
            <w:vMerge w:val="continue"/>
            <w:vAlign w:val="center"/>
          </w:tcPr>
          <w:p>
            <w:pPr>
              <w:adjustRightInd w:val="0"/>
              <w:snapToGrid w:val="0"/>
              <w:jc w:val="center"/>
              <w:rPr>
                <w:rFonts w:ascii="黑体" w:hAnsi="黑体" w:eastAsia="黑体" w:cs="仿宋_GB2312"/>
                <w:szCs w:val="21"/>
              </w:rPr>
            </w:pPr>
          </w:p>
        </w:tc>
        <w:tc>
          <w:tcPr>
            <w:tcW w:w="2528" w:type="dxa"/>
            <w:vMerge w:val="continue"/>
            <w:vAlign w:val="center"/>
          </w:tcPr>
          <w:p>
            <w:pPr>
              <w:adjustRightInd w:val="0"/>
              <w:snapToGrid w:val="0"/>
              <w:rPr>
                <w:rFonts w:ascii="黑体" w:hAnsi="黑体" w:eastAsia="黑体" w:cs="仿宋_GB2312"/>
                <w:szCs w:val="21"/>
              </w:rPr>
            </w:pPr>
          </w:p>
        </w:tc>
        <w:tc>
          <w:tcPr>
            <w:tcW w:w="1730" w:type="dxa"/>
            <w:vMerge w:val="continue"/>
            <w:vAlign w:val="center"/>
          </w:tcPr>
          <w:p>
            <w:pPr>
              <w:adjustRightInd w:val="0"/>
              <w:snapToGrid w:val="0"/>
              <w:jc w:val="center"/>
              <w:rPr>
                <w:rFonts w:ascii="黑体" w:hAnsi="黑体" w:eastAsia="黑体" w:cs="仿宋_GB2312"/>
                <w:szCs w:val="21"/>
              </w:rPr>
            </w:pPr>
          </w:p>
        </w:tc>
        <w:tc>
          <w:tcPr>
            <w:tcW w:w="2505" w:type="dxa"/>
            <w:gridSpan w:val="3"/>
            <w:vMerge w:val="continue"/>
            <w:vAlign w:val="center"/>
          </w:tcPr>
          <w:p>
            <w:pPr>
              <w:adjustRightInd w:val="0"/>
              <w:snapToGrid w:val="0"/>
              <w:jc w:val="center"/>
              <w:rPr>
                <w:rFonts w:ascii="黑体" w:hAnsi="黑体" w:eastAsia="黑体" w:cs="仿宋_GB2312"/>
                <w:szCs w:val="21"/>
              </w:rPr>
            </w:pPr>
          </w:p>
        </w:tc>
        <w:tc>
          <w:tcPr>
            <w:tcW w:w="825" w:type="dxa"/>
            <w:vMerge w:val="continue"/>
            <w:vAlign w:val="center"/>
          </w:tcPr>
          <w:p>
            <w:pPr>
              <w:adjustRightInd w:val="0"/>
              <w:snapToGrid w:val="0"/>
              <w:jc w:val="center"/>
              <w:rPr>
                <w:rFonts w:ascii="黑体" w:hAnsi="黑体" w:eastAsia="黑体" w:cs="仿宋_GB2312"/>
                <w:szCs w:val="21"/>
              </w:rPr>
            </w:pPr>
          </w:p>
        </w:tc>
        <w:tc>
          <w:tcPr>
            <w:tcW w:w="690" w:type="dxa"/>
            <w:vMerge w:val="continue"/>
            <w:vAlign w:val="center"/>
          </w:tcPr>
          <w:p>
            <w:pPr>
              <w:adjustRightInd w:val="0"/>
              <w:snapToGrid w:val="0"/>
              <w:jc w:val="center"/>
              <w:rPr>
                <w:rFonts w:ascii="黑体" w:hAnsi="黑体" w:eastAsia="黑体" w:cs="仿宋_GB2312"/>
                <w:szCs w:val="21"/>
              </w:rPr>
            </w:pPr>
          </w:p>
        </w:tc>
        <w:tc>
          <w:tcPr>
            <w:tcW w:w="1675" w:type="dxa"/>
            <w:gridSpan w:val="2"/>
            <w:vMerge w:val="restart"/>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第一学年</w:t>
            </w:r>
          </w:p>
        </w:tc>
        <w:tc>
          <w:tcPr>
            <w:tcW w:w="1440" w:type="dxa"/>
            <w:gridSpan w:val="2"/>
            <w:vMerge w:val="restart"/>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第二学年</w:t>
            </w:r>
          </w:p>
        </w:tc>
        <w:tc>
          <w:tcPr>
            <w:tcW w:w="1385" w:type="dxa"/>
            <w:gridSpan w:val="2"/>
            <w:vMerge w:val="restart"/>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黑体" w:hAnsi="黑体" w:eastAsia="黑体" w:cs="仿宋_GB2312"/>
                <w:szCs w:val="21"/>
              </w:rPr>
            </w:pPr>
          </w:p>
        </w:tc>
        <w:tc>
          <w:tcPr>
            <w:tcW w:w="814" w:type="dxa"/>
            <w:vMerge w:val="continue"/>
            <w:vAlign w:val="center"/>
          </w:tcPr>
          <w:p>
            <w:pPr>
              <w:adjustRightInd w:val="0"/>
              <w:snapToGrid w:val="0"/>
              <w:jc w:val="center"/>
              <w:rPr>
                <w:rFonts w:ascii="黑体" w:hAnsi="黑体" w:eastAsia="黑体" w:cs="仿宋_GB2312"/>
                <w:szCs w:val="21"/>
              </w:rPr>
            </w:pPr>
          </w:p>
        </w:tc>
        <w:tc>
          <w:tcPr>
            <w:tcW w:w="2528" w:type="dxa"/>
            <w:vMerge w:val="continue"/>
            <w:vAlign w:val="center"/>
          </w:tcPr>
          <w:p>
            <w:pPr>
              <w:adjustRightInd w:val="0"/>
              <w:snapToGrid w:val="0"/>
              <w:rPr>
                <w:rFonts w:ascii="黑体" w:hAnsi="黑体" w:eastAsia="黑体" w:cs="仿宋_GB2312"/>
                <w:szCs w:val="21"/>
              </w:rPr>
            </w:pPr>
          </w:p>
        </w:tc>
        <w:tc>
          <w:tcPr>
            <w:tcW w:w="1730" w:type="dxa"/>
            <w:vMerge w:val="continue"/>
            <w:vAlign w:val="center"/>
          </w:tcPr>
          <w:p>
            <w:pPr>
              <w:adjustRightInd w:val="0"/>
              <w:snapToGrid w:val="0"/>
              <w:jc w:val="center"/>
              <w:rPr>
                <w:rFonts w:ascii="黑体" w:hAnsi="黑体" w:eastAsia="黑体" w:cs="仿宋_GB2312"/>
                <w:szCs w:val="21"/>
              </w:rPr>
            </w:pPr>
          </w:p>
        </w:tc>
        <w:tc>
          <w:tcPr>
            <w:tcW w:w="975" w:type="dxa"/>
            <w:vMerge w:val="restart"/>
            <w:vAlign w:val="center"/>
          </w:tcPr>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总学时</w:t>
            </w:r>
          </w:p>
        </w:tc>
        <w:tc>
          <w:tcPr>
            <w:tcW w:w="765" w:type="dxa"/>
            <w:vMerge w:val="restart"/>
            <w:vAlign w:val="center"/>
          </w:tcPr>
          <w:p>
            <w:pPr>
              <w:pStyle w:val="21"/>
              <w:adjustRightInd w:val="0"/>
              <w:snapToGrid w:val="0"/>
              <w:spacing w:line="240" w:lineRule="exact"/>
              <w:rPr>
                <w:rFonts w:ascii="黑体" w:hAnsi="黑体" w:eastAsia="黑体" w:cs="仿宋_GB2312"/>
                <w:sz w:val="21"/>
                <w:szCs w:val="21"/>
              </w:rPr>
            </w:pPr>
            <w:r>
              <w:rPr>
                <w:rFonts w:hint="eastAsia" w:ascii="黑体" w:hAnsi="黑体" w:eastAsia="黑体" w:cs="仿宋_GB2312"/>
                <w:sz w:val="21"/>
                <w:szCs w:val="21"/>
              </w:rPr>
              <w:t>理论学时</w:t>
            </w:r>
          </w:p>
        </w:tc>
        <w:tc>
          <w:tcPr>
            <w:tcW w:w="765" w:type="dxa"/>
            <w:vMerge w:val="restart"/>
            <w:vAlign w:val="center"/>
          </w:tcPr>
          <w:p>
            <w:pPr>
              <w:adjustRightInd w:val="0"/>
              <w:snapToGrid w:val="0"/>
              <w:spacing w:line="240" w:lineRule="exact"/>
              <w:jc w:val="center"/>
              <w:rPr>
                <w:rFonts w:ascii="黑体" w:hAnsi="黑体" w:eastAsia="黑体" w:cs="仿宋_GB2312"/>
                <w:szCs w:val="21"/>
              </w:rPr>
            </w:pPr>
            <w:r>
              <w:rPr>
                <w:rFonts w:hint="eastAsia" w:ascii="黑体" w:hAnsi="黑体" w:eastAsia="黑体" w:cs="仿宋_GB2312"/>
                <w:szCs w:val="21"/>
              </w:rPr>
              <w:t>实践学时</w:t>
            </w:r>
          </w:p>
        </w:tc>
        <w:tc>
          <w:tcPr>
            <w:tcW w:w="825" w:type="dxa"/>
            <w:vMerge w:val="continue"/>
            <w:vAlign w:val="center"/>
          </w:tcPr>
          <w:p>
            <w:pPr>
              <w:adjustRightInd w:val="0"/>
              <w:snapToGrid w:val="0"/>
              <w:jc w:val="center"/>
              <w:rPr>
                <w:rFonts w:ascii="黑体" w:hAnsi="黑体" w:eastAsia="黑体" w:cs="仿宋_GB2312"/>
                <w:szCs w:val="21"/>
              </w:rPr>
            </w:pPr>
          </w:p>
        </w:tc>
        <w:tc>
          <w:tcPr>
            <w:tcW w:w="690" w:type="dxa"/>
            <w:vMerge w:val="continue"/>
            <w:vAlign w:val="center"/>
          </w:tcPr>
          <w:p>
            <w:pPr>
              <w:adjustRightInd w:val="0"/>
              <w:snapToGrid w:val="0"/>
              <w:jc w:val="center"/>
              <w:rPr>
                <w:rFonts w:ascii="黑体" w:hAnsi="黑体" w:eastAsia="黑体" w:cs="仿宋_GB2312"/>
                <w:szCs w:val="21"/>
              </w:rPr>
            </w:pPr>
          </w:p>
        </w:tc>
        <w:tc>
          <w:tcPr>
            <w:tcW w:w="1675" w:type="dxa"/>
            <w:gridSpan w:val="2"/>
            <w:vMerge w:val="continue"/>
            <w:tcBorders>
              <w:bottom w:val="single" w:color="auto" w:sz="4" w:space="0"/>
            </w:tcBorders>
            <w:vAlign w:val="center"/>
          </w:tcPr>
          <w:p>
            <w:pPr>
              <w:adjustRightInd w:val="0"/>
              <w:snapToGrid w:val="0"/>
              <w:spacing w:line="300" w:lineRule="exact"/>
              <w:jc w:val="center"/>
              <w:rPr>
                <w:rFonts w:ascii="黑体" w:hAnsi="黑体" w:eastAsia="黑体" w:cs="仿宋_GB2312"/>
                <w:szCs w:val="21"/>
              </w:rPr>
            </w:pPr>
          </w:p>
        </w:tc>
        <w:tc>
          <w:tcPr>
            <w:tcW w:w="1440" w:type="dxa"/>
            <w:gridSpan w:val="2"/>
            <w:vMerge w:val="continue"/>
            <w:tcBorders>
              <w:bottom w:val="single" w:color="auto" w:sz="4" w:space="0"/>
            </w:tcBorders>
            <w:vAlign w:val="center"/>
          </w:tcPr>
          <w:p>
            <w:pPr>
              <w:adjustRightInd w:val="0"/>
              <w:snapToGrid w:val="0"/>
              <w:spacing w:line="300" w:lineRule="exact"/>
              <w:jc w:val="center"/>
              <w:rPr>
                <w:rFonts w:ascii="黑体" w:hAnsi="黑体" w:eastAsia="黑体" w:cs="仿宋_GB2312"/>
                <w:szCs w:val="21"/>
              </w:rPr>
            </w:pPr>
          </w:p>
        </w:tc>
        <w:tc>
          <w:tcPr>
            <w:tcW w:w="1385" w:type="dxa"/>
            <w:gridSpan w:val="2"/>
            <w:vMerge w:val="continue"/>
            <w:tcBorders>
              <w:bottom w:val="single" w:color="auto" w:sz="4" w:space="0"/>
            </w:tcBorders>
            <w:vAlign w:val="center"/>
          </w:tcPr>
          <w:p>
            <w:pPr>
              <w:adjustRightInd w:val="0"/>
              <w:snapToGrid w:val="0"/>
              <w:spacing w:line="300" w:lineRule="exact"/>
              <w:jc w:val="center"/>
              <w:rPr>
                <w:rFonts w:ascii="黑体" w:hAnsi="黑体" w:eastAsia="黑体"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黑体" w:hAnsi="黑体" w:eastAsia="黑体" w:cs="仿宋_GB2312"/>
                <w:szCs w:val="21"/>
              </w:rPr>
            </w:pPr>
          </w:p>
        </w:tc>
        <w:tc>
          <w:tcPr>
            <w:tcW w:w="814" w:type="dxa"/>
            <w:vMerge w:val="continue"/>
            <w:vAlign w:val="center"/>
          </w:tcPr>
          <w:p>
            <w:pPr>
              <w:adjustRightInd w:val="0"/>
              <w:snapToGrid w:val="0"/>
              <w:jc w:val="center"/>
              <w:rPr>
                <w:rFonts w:ascii="黑体" w:hAnsi="黑体" w:eastAsia="黑体" w:cs="仿宋_GB2312"/>
                <w:szCs w:val="21"/>
              </w:rPr>
            </w:pPr>
          </w:p>
        </w:tc>
        <w:tc>
          <w:tcPr>
            <w:tcW w:w="2528" w:type="dxa"/>
            <w:vMerge w:val="continue"/>
            <w:vAlign w:val="center"/>
          </w:tcPr>
          <w:p>
            <w:pPr>
              <w:adjustRightInd w:val="0"/>
              <w:snapToGrid w:val="0"/>
              <w:rPr>
                <w:rFonts w:ascii="黑体" w:hAnsi="黑体" w:eastAsia="黑体" w:cs="仿宋_GB2312"/>
                <w:szCs w:val="21"/>
              </w:rPr>
            </w:pPr>
          </w:p>
        </w:tc>
        <w:tc>
          <w:tcPr>
            <w:tcW w:w="1730" w:type="dxa"/>
            <w:vMerge w:val="continue"/>
            <w:vAlign w:val="center"/>
          </w:tcPr>
          <w:p>
            <w:pPr>
              <w:adjustRightInd w:val="0"/>
              <w:snapToGrid w:val="0"/>
              <w:jc w:val="center"/>
              <w:rPr>
                <w:rFonts w:ascii="黑体" w:hAnsi="黑体" w:eastAsia="黑体" w:cs="仿宋_GB2312"/>
                <w:szCs w:val="21"/>
              </w:rPr>
            </w:pPr>
          </w:p>
        </w:tc>
        <w:tc>
          <w:tcPr>
            <w:tcW w:w="975" w:type="dxa"/>
            <w:vMerge w:val="continue"/>
            <w:vAlign w:val="center"/>
          </w:tcPr>
          <w:p>
            <w:pPr>
              <w:adjustRightInd w:val="0"/>
              <w:snapToGrid w:val="0"/>
              <w:jc w:val="center"/>
              <w:rPr>
                <w:rFonts w:ascii="黑体" w:hAnsi="黑体" w:eastAsia="黑体" w:cs="仿宋_GB2312"/>
                <w:szCs w:val="21"/>
              </w:rPr>
            </w:pPr>
          </w:p>
        </w:tc>
        <w:tc>
          <w:tcPr>
            <w:tcW w:w="765" w:type="dxa"/>
            <w:vMerge w:val="continue"/>
            <w:vAlign w:val="center"/>
          </w:tcPr>
          <w:p>
            <w:pPr>
              <w:adjustRightInd w:val="0"/>
              <w:snapToGrid w:val="0"/>
              <w:jc w:val="center"/>
              <w:rPr>
                <w:rFonts w:ascii="黑体" w:hAnsi="黑体" w:eastAsia="黑体" w:cs="仿宋_GB2312"/>
                <w:szCs w:val="21"/>
              </w:rPr>
            </w:pPr>
          </w:p>
        </w:tc>
        <w:tc>
          <w:tcPr>
            <w:tcW w:w="765" w:type="dxa"/>
            <w:vMerge w:val="continue"/>
            <w:vAlign w:val="center"/>
          </w:tcPr>
          <w:p>
            <w:pPr>
              <w:adjustRightInd w:val="0"/>
              <w:snapToGrid w:val="0"/>
              <w:jc w:val="center"/>
              <w:rPr>
                <w:rFonts w:ascii="黑体" w:hAnsi="黑体" w:eastAsia="黑体" w:cs="仿宋_GB2312"/>
                <w:szCs w:val="21"/>
              </w:rPr>
            </w:pPr>
          </w:p>
        </w:tc>
        <w:tc>
          <w:tcPr>
            <w:tcW w:w="825" w:type="dxa"/>
            <w:vMerge w:val="continue"/>
            <w:vAlign w:val="center"/>
          </w:tcPr>
          <w:p>
            <w:pPr>
              <w:adjustRightInd w:val="0"/>
              <w:snapToGrid w:val="0"/>
              <w:jc w:val="center"/>
              <w:rPr>
                <w:rFonts w:ascii="黑体" w:hAnsi="黑体" w:eastAsia="黑体" w:cs="仿宋_GB2312"/>
                <w:szCs w:val="21"/>
              </w:rPr>
            </w:pPr>
          </w:p>
        </w:tc>
        <w:tc>
          <w:tcPr>
            <w:tcW w:w="690" w:type="dxa"/>
            <w:vMerge w:val="continue"/>
            <w:vAlign w:val="center"/>
          </w:tcPr>
          <w:p>
            <w:pPr>
              <w:adjustRightInd w:val="0"/>
              <w:snapToGrid w:val="0"/>
              <w:jc w:val="center"/>
              <w:rPr>
                <w:rFonts w:ascii="黑体" w:hAnsi="黑体" w:eastAsia="黑体" w:cs="仿宋_GB2312"/>
                <w:szCs w:val="21"/>
              </w:rPr>
            </w:pPr>
          </w:p>
        </w:tc>
        <w:tc>
          <w:tcPr>
            <w:tcW w:w="970" w:type="dxa"/>
            <w:tcBorders>
              <w:top w:val="single" w:color="auto" w:sz="4" w:space="0"/>
              <w:bottom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1</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2</w:t>
            </w:r>
          </w:p>
        </w:tc>
        <w:tc>
          <w:tcPr>
            <w:tcW w:w="735" w:type="dxa"/>
            <w:tcBorders>
              <w:top w:val="single" w:color="auto" w:sz="4" w:space="0"/>
              <w:bottom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3</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4</w:t>
            </w:r>
          </w:p>
        </w:tc>
        <w:tc>
          <w:tcPr>
            <w:tcW w:w="690" w:type="dxa"/>
            <w:tcBorders>
              <w:top w:val="single" w:color="auto" w:sz="4" w:space="0"/>
              <w:bottom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5</w:t>
            </w:r>
          </w:p>
        </w:tc>
        <w:tc>
          <w:tcPr>
            <w:tcW w:w="695" w:type="dxa"/>
            <w:tcBorders>
              <w:top w:val="single" w:color="auto" w:sz="4" w:space="0"/>
              <w:bottom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vAlign w:val="center"/>
          </w:tcPr>
          <w:p>
            <w:pPr>
              <w:adjustRightInd w:val="0"/>
              <w:snapToGrid w:val="0"/>
              <w:jc w:val="right"/>
              <w:rPr>
                <w:rFonts w:ascii="黑体" w:hAnsi="黑体" w:eastAsia="黑体" w:cs="仿宋_GB2312"/>
                <w:szCs w:val="21"/>
              </w:rPr>
            </w:pPr>
          </w:p>
        </w:tc>
        <w:tc>
          <w:tcPr>
            <w:tcW w:w="814" w:type="dxa"/>
            <w:vMerge w:val="continue"/>
            <w:vAlign w:val="center"/>
          </w:tcPr>
          <w:p>
            <w:pPr>
              <w:adjustRightInd w:val="0"/>
              <w:snapToGrid w:val="0"/>
              <w:jc w:val="right"/>
              <w:rPr>
                <w:rFonts w:ascii="黑体" w:hAnsi="黑体" w:eastAsia="黑体" w:cs="仿宋_GB2312"/>
                <w:szCs w:val="21"/>
              </w:rPr>
            </w:pPr>
          </w:p>
        </w:tc>
        <w:tc>
          <w:tcPr>
            <w:tcW w:w="2528" w:type="dxa"/>
            <w:vMerge w:val="continue"/>
            <w:vAlign w:val="center"/>
          </w:tcPr>
          <w:p>
            <w:pPr>
              <w:adjustRightInd w:val="0"/>
              <w:snapToGrid w:val="0"/>
              <w:jc w:val="right"/>
              <w:rPr>
                <w:rFonts w:ascii="黑体" w:hAnsi="黑体" w:eastAsia="黑体" w:cs="仿宋_GB2312"/>
                <w:szCs w:val="21"/>
              </w:rPr>
            </w:pPr>
          </w:p>
        </w:tc>
        <w:tc>
          <w:tcPr>
            <w:tcW w:w="1730" w:type="dxa"/>
            <w:vMerge w:val="continue"/>
            <w:vAlign w:val="center"/>
          </w:tcPr>
          <w:p>
            <w:pPr>
              <w:adjustRightInd w:val="0"/>
              <w:snapToGrid w:val="0"/>
              <w:jc w:val="right"/>
              <w:rPr>
                <w:rFonts w:ascii="黑体" w:hAnsi="黑体" w:eastAsia="黑体" w:cs="仿宋_GB2312"/>
                <w:szCs w:val="21"/>
              </w:rPr>
            </w:pPr>
          </w:p>
        </w:tc>
        <w:tc>
          <w:tcPr>
            <w:tcW w:w="975" w:type="dxa"/>
            <w:vMerge w:val="continue"/>
            <w:vAlign w:val="center"/>
          </w:tcPr>
          <w:p>
            <w:pPr>
              <w:adjustRightInd w:val="0"/>
              <w:snapToGrid w:val="0"/>
              <w:jc w:val="center"/>
              <w:rPr>
                <w:rFonts w:ascii="黑体" w:hAnsi="黑体" w:eastAsia="黑体" w:cs="仿宋_GB2312"/>
                <w:szCs w:val="21"/>
              </w:rPr>
            </w:pPr>
          </w:p>
        </w:tc>
        <w:tc>
          <w:tcPr>
            <w:tcW w:w="765" w:type="dxa"/>
            <w:vMerge w:val="continue"/>
            <w:vAlign w:val="center"/>
          </w:tcPr>
          <w:p>
            <w:pPr>
              <w:adjustRightInd w:val="0"/>
              <w:snapToGrid w:val="0"/>
              <w:jc w:val="center"/>
              <w:rPr>
                <w:rFonts w:ascii="黑体" w:hAnsi="黑体" w:eastAsia="黑体" w:cs="仿宋_GB2312"/>
                <w:szCs w:val="21"/>
              </w:rPr>
            </w:pPr>
          </w:p>
        </w:tc>
        <w:tc>
          <w:tcPr>
            <w:tcW w:w="765" w:type="dxa"/>
            <w:vMerge w:val="continue"/>
            <w:vAlign w:val="center"/>
          </w:tcPr>
          <w:p>
            <w:pPr>
              <w:adjustRightInd w:val="0"/>
              <w:snapToGrid w:val="0"/>
              <w:jc w:val="center"/>
              <w:rPr>
                <w:rFonts w:ascii="黑体" w:hAnsi="黑体" w:eastAsia="黑体" w:cs="仿宋_GB2312"/>
                <w:szCs w:val="21"/>
              </w:rPr>
            </w:pPr>
          </w:p>
        </w:tc>
        <w:tc>
          <w:tcPr>
            <w:tcW w:w="825" w:type="dxa"/>
            <w:vMerge w:val="continue"/>
            <w:vAlign w:val="center"/>
          </w:tcPr>
          <w:p>
            <w:pPr>
              <w:adjustRightInd w:val="0"/>
              <w:snapToGrid w:val="0"/>
              <w:jc w:val="center"/>
              <w:rPr>
                <w:rFonts w:ascii="黑体" w:hAnsi="黑体" w:eastAsia="黑体" w:cs="仿宋_GB2312"/>
                <w:szCs w:val="21"/>
              </w:rPr>
            </w:pPr>
          </w:p>
        </w:tc>
        <w:tc>
          <w:tcPr>
            <w:tcW w:w="690" w:type="dxa"/>
            <w:vMerge w:val="continue"/>
            <w:vAlign w:val="center"/>
          </w:tcPr>
          <w:p>
            <w:pPr>
              <w:adjustRightInd w:val="0"/>
              <w:snapToGrid w:val="0"/>
              <w:jc w:val="center"/>
              <w:rPr>
                <w:rFonts w:ascii="黑体" w:hAnsi="黑体" w:eastAsia="黑体" w:cs="仿宋_GB2312"/>
                <w:szCs w:val="21"/>
              </w:rPr>
            </w:pPr>
          </w:p>
        </w:tc>
        <w:tc>
          <w:tcPr>
            <w:tcW w:w="970" w:type="dxa"/>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18周</w:t>
            </w:r>
          </w:p>
        </w:tc>
        <w:tc>
          <w:tcPr>
            <w:tcW w:w="705" w:type="dxa"/>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18周</w:t>
            </w:r>
          </w:p>
        </w:tc>
        <w:tc>
          <w:tcPr>
            <w:tcW w:w="735" w:type="dxa"/>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18周</w:t>
            </w:r>
          </w:p>
        </w:tc>
        <w:tc>
          <w:tcPr>
            <w:tcW w:w="705" w:type="dxa"/>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18周</w:t>
            </w:r>
          </w:p>
        </w:tc>
        <w:tc>
          <w:tcPr>
            <w:tcW w:w="690" w:type="dxa"/>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18周</w:t>
            </w:r>
          </w:p>
        </w:tc>
        <w:tc>
          <w:tcPr>
            <w:tcW w:w="695" w:type="dxa"/>
            <w:tcBorders>
              <w:top w:val="single" w:color="auto" w:sz="4" w:space="0"/>
            </w:tcBorders>
            <w:vAlign w:val="center"/>
          </w:tcPr>
          <w:p>
            <w:pPr>
              <w:adjustRightInd w:val="0"/>
              <w:snapToGrid w:val="0"/>
              <w:spacing w:line="300" w:lineRule="exact"/>
              <w:jc w:val="center"/>
              <w:rPr>
                <w:rFonts w:ascii="黑体" w:hAnsi="黑体" w:eastAsia="黑体" w:cs="仿宋_GB2312"/>
                <w:szCs w:val="21"/>
              </w:rPr>
            </w:pPr>
            <w:r>
              <w:rPr>
                <w:rFonts w:hint="eastAsia" w:ascii="黑体" w:hAnsi="黑体" w:eastAsia="黑体"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814"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中国特色社会主义</w:t>
            </w:r>
          </w:p>
        </w:tc>
        <w:tc>
          <w:tcPr>
            <w:tcW w:w="1730"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97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3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心理健康与职业生涯</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哲学与人生</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职业道德与法治</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语文（基础模块）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信息技术</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KCGG008</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历史（基础模块）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艺术（基础模块）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劳动教育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KCGG013</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小计（占总课时比例24.</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810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684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中职生传统文化教育</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语文（职业模块）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数学（拓展模块）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英语（职业模块）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2"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体育与健康（拓展模块）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90</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小计（占总课时比例8.</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tabs>
                <w:tab w:val="left" w:pos="327"/>
              </w:tabs>
              <w:adjustRightInd w:val="0"/>
              <w:snapToGrid w:val="0"/>
              <w:jc w:val="left"/>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ab/>
            </w: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88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76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 xml:space="preserve"> 72</w:t>
            </w:r>
          </w:p>
        </w:tc>
        <w:tc>
          <w:tcPr>
            <w:tcW w:w="82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 xml:space="preserve"> 16</w:t>
            </w:r>
          </w:p>
        </w:tc>
        <w:tc>
          <w:tcPr>
            <w:tcW w:w="690" w:type="dxa"/>
            <w:vAlign w:val="center"/>
          </w:tcPr>
          <w:p>
            <w:pPr>
              <w:adjustRightInd w:val="0"/>
              <w:snapToGrid w:val="0"/>
              <w:rPr>
                <w:rFonts w:ascii="仿宋_GB2312" w:hAnsi="仿宋_GB2312" w:eastAsia="仿宋_GB2312" w:cs="仿宋_GB2312"/>
                <w:szCs w:val="21"/>
              </w:rPr>
            </w:pPr>
          </w:p>
        </w:tc>
        <w:tc>
          <w:tcPr>
            <w:tcW w:w="4500" w:type="dxa"/>
            <w:gridSpan w:val="6"/>
            <w:vAlign w:val="center"/>
          </w:tcPr>
          <w:p>
            <w:pPr>
              <w:adjustRightInd w:val="0"/>
              <w:snapToGrid w:val="0"/>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专业（技能）课程</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603" w:type="dxa"/>
            <w:vMerge w:val="restart"/>
            <w:textDirection w:val="tbRlV"/>
            <w:vAlign w:val="center"/>
          </w:tcPr>
          <w:p>
            <w:pPr>
              <w:snapToGrid w:val="0"/>
              <w:ind w:left="113" w:right="113" w:firstLine="105" w:firstLineChars="50"/>
              <w:jc w:val="center"/>
              <w:rPr>
                <w:rFonts w:ascii="仿宋_GB2312" w:hAnsi="仿宋_GB2312" w:eastAsia="仿宋_GB2312" w:cs="仿宋_GB2312"/>
                <w:szCs w:val="21"/>
              </w:rPr>
            </w:pPr>
            <w:r>
              <w:rPr>
                <w:rFonts w:hint="eastAsia" w:ascii="仿宋_GB2312" w:hAnsi="仿宋_GB2312" w:eastAsia="仿宋_GB2312" w:cs="仿宋_GB2312"/>
                <w:szCs w:val="21"/>
              </w:rPr>
              <w:t>专业基础课程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物流基础</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CCM108</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76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供应链基础</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KCCM120</w:t>
            </w: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物流法律法规</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KCCM121</w:t>
            </w: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智慧物流技术与实务</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CCM112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pacing w:val="-10"/>
                <w:szCs w:val="21"/>
              </w:rPr>
            </w:pPr>
            <w:r>
              <w:rPr>
                <w:rFonts w:hint="eastAsia" w:ascii="仿宋_GB2312" w:hAnsi="仿宋_GB2312" w:eastAsia="仿宋_GB2312" w:cs="仿宋_GB2312"/>
                <w:szCs w:val="21"/>
              </w:rPr>
              <w:t>小计（占总课时比例</w:t>
            </w:r>
            <w:r>
              <w:rPr>
                <w:rFonts w:ascii="仿宋_GB2312" w:hAnsi="仿宋_GB2312" w:eastAsia="仿宋_GB2312" w:cs="仿宋_GB2312"/>
                <w:szCs w:val="21"/>
              </w:rPr>
              <w:t>6.0</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198</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156</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专业核心课程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运输实务</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CCM203</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仓储与配送实务</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CCM204</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快递实务</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CCM205</w:t>
            </w: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叉车作业与管理</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CCM307</w:t>
            </w: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90</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30</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6</w:t>
            </w: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国际货代实务</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KCCM122</w:t>
            </w: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物流设施设备应用</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KCCM212</w:t>
            </w: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8</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54</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4</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ascii="仿宋_GB2312" w:hAnsi="仿宋_GB2312" w:eastAsia="仿宋_GB2312" w:cs="仿宋_GB2312"/>
                <w:szCs w:val="21"/>
              </w:rPr>
              <w:t>13.1</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432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10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22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物流数据分析</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KCCM213</w:t>
            </w:r>
          </w:p>
        </w:tc>
        <w:tc>
          <w:tcPr>
            <w:tcW w:w="97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72</w:t>
            </w:r>
          </w:p>
        </w:tc>
        <w:tc>
          <w:tcPr>
            <w:tcW w:w="76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24</w:t>
            </w:r>
          </w:p>
        </w:tc>
        <w:tc>
          <w:tcPr>
            <w:tcW w:w="76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48</w:t>
            </w:r>
          </w:p>
        </w:tc>
        <w:tc>
          <w:tcPr>
            <w:tcW w:w="82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4</w:t>
            </w:r>
          </w:p>
        </w:tc>
        <w:tc>
          <w:tcPr>
            <w:tcW w:w="690"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考试</w:t>
            </w:r>
          </w:p>
        </w:tc>
        <w:tc>
          <w:tcPr>
            <w:tcW w:w="970" w:type="dxa"/>
            <w:vAlign w:val="center"/>
          </w:tcPr>
          <w:p>
            <w:pPr>
              <w:adjustRightInd w:val="0"/>
              <w:snapToGrid w:val="0"/>
              <w:jc w:val="center"/>
              <w:rPr>
                <w:rFonts w:ascii="仿宋_GB2312" w:hAnsi="仿宋_GB2312" w:eastAsia="仿宋_GB2312" w:cs="仿宋_GB2312"/>
                <w:color w:val="FF0000"/>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color w:val="FF0000"/>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color w:val="FF0000"/>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color w:val="FF0000"/>
                <w:kern w:val="2"/>
                <w:sz w:val="21"/>
                <w:szCs w:val="21"/>
                <w:lang w:val="en-US" w:eastAsia="zh-CN" w:bidi="ar-SA"/>
              </w:rPr>
            </w:pPr>
            <w:r>
              <w:rPr>
                <w:rFonts w:ascii="仿宋_GB2312" w:hAnsi="仿宋_GB2312" w:eastAsia="仿宋_GB2312" w:cs="仿宋_GB2312"/>
                <w:color w:val="FF0000"/>
                <w:szCs w:val="21"/>
              </w:rPr>
              <w:t>4</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客户服务与管理</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KCCM124</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物流成本核算</w:t>
            </w:r>
          </w:p>
        </w:tc>
        <w:tc>
          <w:tcPr>
            <w:tcW w:w="173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KCCM109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物流单证实务</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CCM306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物流企业管理</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CCM114</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物流信息技术</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CCM113</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2528"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网点运营</w:t>
            </w:r>
          </w:p>
        </w:tc>
        <w:tc>
          <w:tcPr>
            <w:tcW w:w="1730"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KCCM214</w:t>
            </w:r>
          </w:p>
        </w:tc>
        <w:tc>
          <w:tcPr>
            <w:tcW w:w="97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5</w:t>
            </w:r>
            <w:r>
              <w:rPr>
                <w:rFonts w:ascii="仿宋_GB2312" w:hAnsi="仿宋_GB2312" w:eastAsia="仿宋_GB2312" w:cs="仿宋_GB2312"/>
                <w:color w:val="auto"/>
                <w:szCs w:val="21"/>
              </w:rPr>
              <w:t>4</w:t>
            </w:r>
          </w:p>
        </w:tc>
        <w:tc>
          <w:tcPr>
            <w:tcW w:w="76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1</w:t>
            </w:r>
            <w:r>
              <w:rPr>
                <w:rFonts w:ascii="仿宋_GB2312" w:hAnsi="仿宋_GB2312" w:eastAsia="仿宋_GB2312" w:cs="仿宋_GB2312"/>
                <w:color w:val="auto"/>
                <w:szCs w:val="21"/>
              </w:rPr>
              <w:t>0</w:t>
            </w:r>
          </w:p>
        </w:tc>
        <w:tc>
          <w:tcPr>
            <w:tcW w:w="76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4</w:t>
            </w:r>
            <w:r>
              <w:rPr>
                <w:rFonts w:ascii="仿宋_GB2312" w:hAnsi="仿宋_GB2312" w:eastAsia="仿宋_GB2312" w:cs="仿宋_GB2312"/>
                <w:color w:val="auto"/>
                <w:szCs w:val="21"/>
              </w:rPr>
              <w:t>4</w:t>
            </w:r>
          </w:p>
        </w:tc>
        <w:tc>
          <w:tcPr>
            <w:tcW w:w="82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3</w:t>
            </w:r>
          </w:p>
        </w:tc>
        <w:tc>
          <w:tcPr>
            <w:tcW w:w="690"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考试</w:t>
            </w:r>
          </w:p>
        </w:tc>
        <w:tc>
          <w:tcPr>
            <w:tcW w:w="970"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3</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ascii="仿宋_GB2312" w:hAnsi="仿宋_GB2312" w:eastAsia="仿宋_GB2312" w:cs="仿宋_GB2312"/>
                <w:szCs w:val="21"/>
              </w:rPr>
              <w:t>13.7</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r>
              <w:rPr>
                <w:rFonts w:ascii="仿宋_GB2312" w:hAnsi="仿宋_GB2312" w:eastAsia="仿宋_GB2312" w:cs="仿宋_GB2312"/>
                <w:szCs w:val="21"/>
              </w:rPr>
              <w:t>450</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286</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164</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5</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实习实训</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认识实习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KCRS001 </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1/2周</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物流作业任务优化</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KCSX001 </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现代物流综合实训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KCSX002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KCGW002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4周</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widowControl/>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小计（占总课时比例32.</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1071</w:t>
            </w:r>
          </w:p>
        </w:tc>
        <w:tc>
          <w:tcPr>
            <w:tcW w:w="765" w:type="dxa"/>
            <w:vAlign w:val="center"/>
          </w:tcPr>
          <w:p>
            <w:pPr>
              <w:adjustRightInd w:val="0"/>
              <w:snapToGrid w:val="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1071</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59</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814"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2528"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入学教育与军训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765" w:type="dxa"/>
            <w:vAlign w:val="center"/>
          </w:tcPr>
          <w:p>
            <w:pPr>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1周</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小计（占总课时比例1.</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444" w:type="dxa"/>
            <w:gridSpan w:val="4"/>
            <w:tcBorders>
              <w:bottom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1730" w:type="dxa"/>
            <w:tcBorders>
              <w:bottom w:val="single" w:color="auto" w:sz="4" w:space="0"/>
            </w:tcBorders>
            <w:vAlign w:val="center"/>
          </w:tcPr>
          <w:p>
            <w:pPr>
              <w:adjustRightInd w:val="0"/>
              <w:snapToGrid w:val="0"/>
              <w:jc w:val="center"/>
              <w:rPr>
                <w:rFonts w:ascii="仿宋_GB2312" w:hAnsi="仿宋_GB2312" w:eastAsia="仿宋_GB2312" w:cs="仿宋_GB2312"/>
                <w:szCs w:val="21"/>
              </w:rPr>
            </w:pPr>
          </w:p>
        </w:tc>
        <w:tc>
          <w:tcPr>
            <w:tcW w:w="975"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3</w:t>
            </w:r>
            <w:r>
              <w:rPr>
                <w:rFonts w:ascii="仿宋_GB2312" w:hAnsi="仿宋_GB2312" w:eastAsia="仿宋_GB2312" w:cs="仿宋_GB2312"/>
                <w:szCs w:val="21"/>
              </w:rPr>
              <w:t>2</w:t>
            </w:r>
            <w:r>
              <w:rPr>
                <w:rFonts w:hint="eastAsia" w:ascii="仿宋_GB2312" w:hAnsi="仿宋_GB2312" w:eastAsia="仿宋_GB2312" w:cs="仿宋_GB2312"/>
                <w:szCs w:val="21"/>
                <w:lang w:val="en-US" w:eastAsia="zh-CN"/>
              </w:rPr>
              <w:t>94</w:t>
            </w:r>
          </w:p>
        </w:tc>
        <w:tc>
          <w:tcPr>
            <w:tcW w:w="765"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1567</w:t>
            </w:r>
          </w:p>
        </w:tc>
        <w:tc>
          <w:tcPr>
            <w:tcW w:w="765"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1727</w:t>
            </w:r>
          </w:p>
        </w:tc>
        <w:tc>
          <w:tcPr>
            <w:tcW w:w="825"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182</w:t>
            </w:r>
          </w:p>
        </w:tc>
        <w:tc>
          <w:tcPr>
            <w:tcW w:w="690" w:type="dxa"/>
            <w:tcBorders>
              <w:bottom w:val="single" w:color="auto" w:sz="4" w:space="0"/>
            </w:tcBorders>
            <w:vAlign w:val="center"/>
          </w:tcPr>
          <w:p>
            <w:pPr>
              <w:adjustRightInd w:val="0"/>
              <w:snapToGrid w:val="0"/>
              <w:jc w:val="center"/>
              <w:rPr>
                <w:rFonts w:ascii="仿宋_GB2312" w:hAnsi="仿宋_GB2312" w:eastAsia="仿宋_GB2312" w:cs="仿宋_GB2312"/>
                <w:szCs w:val="21"/>
              </w:rPr>
            </w:pPr>
          </w:p>
        </w:tc>
        <w:tc>
          <w:tcPr>
            <w:tcW w:w="970"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05"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35"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05"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690"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695" w:type="dxa"/>
            <w:tcBorders>
              <w:bottom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444" w:type="dxa"/>
            <w:gridSpan w:val="4"/>
            <w:tcBorders>
              <w:top w:val="single" w:color="auto" w:sz="4" w:space="0"/>
              <w:left w:val="single" w:color="auto" w:sz="4" w:space="0"/>
              <w:bottom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730" w:type="dxa"/>
            <w:tcBorders>
              <w:top w:val="single" w:color="auto" w:sz="4" w:space="0"/>
              <w:bottom w:val="single" w:color="auto" w:sz="4" w:space="0"/>
            </w:tcBorders>
            <w:vAlign w:val="center"/>
          </w:tcPr>
          <w:p>
            <w:pPr>
              <w:adjustRightInd w:val="0"/>
              <w:snapToGrid w:val="0"/>
              <w:jc w:val="center"/>
              <w:rPr>
                <w:rFonts w:ascii="仿宋_GB2312" w:hAnsi="仿宋_GB2312" w:eastAsia="仿宋_GB2312" w:cs="仿宋_GB2312"/>
                <w:szCs w:val="21"/>
              </w:rPr>
            </w:pPr>
          </w:p>
        </w:tc>
        <w:tc>
          <w:tcPr>
            <w:tcW w:w="8520" w:type="dxa"/>
            <w:gridSpan w:val="11"/>
            <w:tcBorders>
              <w:top w:val="single" w:color="auto" w:sz="4" w:space="0"/>
              <w:bottom w:val="single" w:color="auto" w:sz="4" w:space="0"/>
              <w:right w:val="single" w:color="auto" w:sz="4" w:space="0"/>
            </w:tcBorders>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3</w:t>
            </w:r>
            <w:r>
              <w:rPr>
                <w:rFonts w:ascii="仿宋_GB2312" w:hAnsi="仿宋_GB2312" w:eastAsia="仿宋_GB2312" w:cs="仿宋_GB2312"/>
                <w:szCs w:val="21"/>
              </w:rPr>
              <w:t>2</w:t>
            </w:r>
            <w:r>
              <w:rPr>
                <w:rFonts w:hint="eastAsia" w:ascii="仿宋_GB2312" w:hAnsi="仿宋_GB2312" w:eastAsia="仿宋_GB2312" w:cs="仿宋_GB2312"/>
                <w:szCs w:val="21"/>
                <w:lang w:val="en-US" w:eastAsia="zh-CN"/>
              </w:rPr>
              <w:t>94</w:t>
            </w:r>
          </w:p>
        </w:tc>
      </w:tr>
    </w:tbl>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备注：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sectPr>
          <w:pgSz w:w="16838" w:h="11906" w:orient="landscape"/>
          <w:pgMar w:top="1531" w:right="2041" w:bottom="1531" w:left="1984" w:header="851" w:footer="992" w:gutter="0"/>
          <w:pgNumType w:fmt="numberInDash"/>
          <w:cols w:space="720" w:num="1"/>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4.本专业公共基础课程1098课时，占比为33.3%；实践课程1727课时，占比为52.4%。</w:t>
      </w:r>
    </w:p>
    <w:p>
      <w:pPr>
        <w:widowControl/>
        <w:shd w:val="clear" w:color="auto" w:fill="FFFFFF"/>
        <w:spacing w:line="560" w:lineRule="exact"/>
        <w:ind w:firstLine="640" w:firstLineChars="200"/>
        <w:jc w:val="left"/>
        <w:rPr>
          <w:rFonts w:ascii="黑体" w:hAnsi="黑体" w:eastAsia="黑体" w:cs="黑体"/>
          <w:sz w:val="32"/>
          <w:szCs w:val="32"/>
        </w:rPr>
      </w:pPr>
      <w:r>
        <w:rPr>
          <w:rFonts w:hint="eastAsia" w:ascii="黑体" w:hAnsi="黑体" w:eastAsia="黑体" w:cs="黑体"/>
          <w:kern w:val="0"/>
          <w:sz w:val="32"/>
          <w:szCs w:val="32"/>
          <w:shd w:val="clear" w:color="auto" w:fill="FFFFFF"/>
          <w:lang w:bidi="ar"/>
        </w:rPr>
        <w:t>十、实施保障</w:t>
      </w:r>
    </w:p>
    <w:p>
      <w:pPr>
        <w:numPr>
          <w:ilvl w:val="0"/>
          <w:numId w:val="2"/>
        </w:numPr>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师资队伍</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1.队伍结构</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专业教师数量及结构要求</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物流服务与管理专业作为市级品牌专业，共有专业</w:t>
      </w:r>
      <w:r>
        <w:rPr>
          <w:rFonts w:hint="eastAsia" w:ascii="仿宋_GB2312" w:hAnsi="仿宋_GB2312" w:eastAsia="仿宋_GB2312" w:cs="仿宋_GB2312"/>
          <w:sz w:val="32"/>
          <w:szCs w:val="32"/>
          <w:lang w:val="en-US" w:eastAsia="zh-CN"/>
        </w:rPr>
        <w:t>专任</w:t>
      </w:r>
      <w:r>
        <w:rPr>
          <w:rFonts w:hint="eastAsia" w:ascii="仿宋_GB2312" w:hAnsi="仿宋_GB2312" w:eastAsia="仿宋_GB2312" w:cs="仿宋_GB2312"/>
          <w:sz w:val="32"/>
          <w:szCs w:val="32"/>
        </w:rPr>
        <w:t>教师8人，师生比为1:</w:t>
      </w:r>
      <w:r>
        <w:rPr>
          <w:rFonts w:ascii="仿宋_GB2312" w:hAnsi="仿宋_GB2312" w:eastAsia="仿宋_GB2312" w:cs="仿宋_GB2312"/>
          <w:sz w:val="32"/>
          <w:szCs w:val="32"/>
        </w:rPr>
        <w:t>27</w:t>
      </w:r>
      <w:r>
        <w:rPr>
          <w:rFonts w:hint="eastAsia" w:ascii="仿宋_GB2312" w:hAnsi="仿宋_GB2312" w:eastAsia="仿宋_GB2312" w:cs="仿宋_GB2312"/>
          <w:sz w:val="32"/>
          <w:szCs w:val="32"/>
        </w:rPr>
        <w:t>；其中本科学历</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人，占比7</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%，研究生以上学历2人，占比</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%，高级职称教师</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人，占比2</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%；具有“双师型”资格教师6人，占专业教师总数的</w:t>
      </w:r>
      <w:r>
        <w:rPr>
          <w:rFonts w:ascii="仿宋_GB2312" w:hAnsi="仿宋_GB2312" w:eastAsia="仿宋_GB2312" w:cs="仿宋_GB2312"/>
          <w:sz w:val="32"/>
          <w:szCs w:val="32"/>
        </w:rPr>
        <w:t>75</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专业带头人</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专业团队带头人业务水平高，应具有本专业及相关专业大学本科以上学历，副高以上职称以及较强的实践能力，能广泛联系行业企业，了解国内外</w:t>
      </w:r>
      <w:r>
        <w:rPr>
          <w:rFonts w:hint="eastAsia" w:ascii="宋体" w:hAnsi="宋体" w:cs="宋体"/>
          <w:sz w:val="32"/>
          <w:szCs w:val="32"/>
        </w:rPr>
        <w:t>物流</w:t>
      </w:r>
      <w:r>
        <w:rPr>
          <w:rFonts w:hint="eastAsia" w:ascii="仿宋_GB2312" w:hAnsi="仿宋_GB2312" w:eastAsia="仿宋_GB2312" w:cs="仿宋_GB2312"/>
          <w:sz w:val="32"/>
          <w:szCs w:val="32"/>
        </w:rPr>
        <w:t>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专任教师</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兼职教师</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从本专业相关行业企业聘任，要求具有良好的思想政治素质、职业道德和工匠精神；具有扎实的专业知识和丰富实践经验，高级以上职称，能承担《物流数据分析》、《物流成本核算》等专业技能课程教学，胜任仓储管理、运输调度、物流信息技术等岗位的实习实训指导和学生职业发展规划指导等任务。</w:t>
      </w:r>
    </w:p>
    <w:p>
      <w:pPr>
        <w:numPr>
          <w:ilvl w:val="0"/>
          <w:numId w:val="2"/>
        </w:numPr>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教学设施</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主要包括能够满足正常教学的课程教学、实习实训所需要的专业教室、校内实训室和校外实习基地。</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1.专业教室基本条件</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教室配备黑（白）板、</w:t>
      </w:r>
      <w:r>
        <w:rPr>
          <w:rFonts w:hint="eastAsia" w:ascii="仿宋_GB2312" w:hAnsi="仿宋_GB2312" w:eastAsia="仿宋_GB2312" w:cs="仿宋_GB2312"/>
          <w:sz w:val="32"/>
          <w:szCs w:val="32"/>
          <w:lang w:val="en-US" w:eastAsia="zh-CN"/>
        </w:rPr>
        <w:t>希</w:t>
      </w:r>
      <w:bookmarkStart w:id="48" w:name="_GoBack"/>
      <w:bookmarkEnd w:id="48"/>
      <w:r>
        <w:rPr>
          <w:rFonts w:hint="eastAsia" w:ascii="仿宋_GB2312" w:hAnsi="仿宋_GB2312" w:eastAsia="仿宋_GB2312" w:cs="仿宋_GB2312"/>
          <w:sz w:val="32"/>
          <w:szCs w:val="32"/>
        </w:rPr>
        <w:t>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2.校内外实训场所基本要求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校内实训室有五个，分别是物流仓储实训室、物流信息实训室、物流电商实训室、物流机房实训室、物流叉车实训室。</w:t>
      </w:r>
    </w:p>
    <w:p>
      <w:pPr>
        <w:autoSpaceDE w:val="0"/>
        <w:autoSpaceDN w:val="0"/>
        <w:adjustRightInd w:val="0"/>
        <w:spacing w:line="560" w:lineRule="exact"/>
        <w:ind w:firstLine="480" w:firstLineChars="200"/>
        <w:jc w:val="center"/>
        <w:rPr>
          <w:rFonts w:ascii="仿宋_GB2312" w:hAnsi="仿宋_GB2312" w:eastAsia="仿宋_GB2312" w:cs="仿宋_GB2312"/>
          <w:sz w:val="32"/>
          <w:szCs w:val="32"/>
        </w:rPr>
      </w:pPr>
      <w:r>
        <w:rPr>
          <w:rFonts w:hint="eastAsia" w:ascii="黑体" w:hAnsi="黑体" w:eastAsia="黑体" w:cs="黑体"/>
          <w:sz w:val="24"/>
        </w:rPr>
        <w:t>表10  物流服务与管理专业实训室一览表</w:t>
      </w:r>
    </w:p>
    <w:tbl>
      <w:tblPr>
        <w:tblStyle w:val="15"/>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485"/>
        <w:gridCol w:w="1421"/>
        <w:gridCol w:w="1088"/>
        <w:gridCol w:w="1956"/>
        <w:gridCol w:w="1154"/>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序号</w:t>
            </w:r>
          </w:p>
        </w:tc>
        <w:tc>
          <w:tcPr>
            <w:tcW w:w="1485" w:type="dxa"/>
            <w:vAlign w:val="center"/>
          </w:tcPr>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实训室类别</w:t>
            </w:r>
          </w:p>
        </w:tc>
        <w:tc>
          <w:tcPr>
            <w:tcW w:w="1421" w:type="dxa"/>
            <w:vAlign w:val="center"/>
          </w:tcPr>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实训室名称</w:t>
            </w:r>
          </w:p>
        </w:tc>
        <w:tc>
          <w:tcPr>
            <w:tcW w:w="1088" w:type="dxa"/>
            <w:vAlign w:val="center"/>
          </w:tcPr>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数量</w:t>
            </w:r>
          </w:p>
        </w:tc>
        <w:tc>
          <w:tcPr>
            <w:tcW w:w="1956" w:type="dxa"/>
            <w:vAlign w:val="center"/>
          </w:tcPr>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主要工具和设备</w:t>
            </w:r>
          </w:p>
        </w:tc>
        <w:tc>
          <w:tcPr>
            <w:tcW w:w="1154" w:type="dxa"/>
            <w:vAlign w:val="center"/>
          </w:tcPr>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数量</w:t>
            </w:r>
          </w:p>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（台/套）</w:t>
            </w:r>
          </w:p>
        </w:tc>
        <w:tc>
          <w:tcPr>
            <w:tcW w:w="1278" w:type="dxa"/>
            <w:vAlign w:val="center"/>
          </w:tcPr>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实训</w:t>
            </w:r>
          </w:p>
          <w:p>
            <w:pPr>
              <w:autoSpaceDE w:val="0"/>
              <w:autoSpaceDN w:val="0"/>
              <w:adjustRightInd w:val="0"/>
              <w:spacing w:line="320" w:lineRule="exact"/>
              <w:jc w:val="center"/>
              <w:rPr>
                <w:rFonts w:hint="eastAsia" w:ascii="黑体" w:hAnsi="黑体" w:eastAsia="黑体" w:cs="仿宋_GB2312"/>
                <w:sz w:val="21"/>
                <w:szCs w:val="21"/>
              </w:rPr>
            </w:pPr>
            <w:r>
              <w:rPr>
                <w:rFonts w:hint="eastAsia" w:ascii="黑体" w:hAnsi="黑体" w:eastAsia="黑体" w:cs="仿宋_GB2312"/>
                <w:sz w:val="21"/>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485"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技能实训室  </w:t>
            </w:r>
          </w:p>
        </w:tc>
        <w:tc>
          <w:tcPr>
            <w:tcW w:w="1421" w:type="dxa"/>
            <w:vMerge w:val="restart"/>
            <w:vAlign w:val="center"/>
          </w:tcPr>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物流仓储</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实训室  </w:t>
            </w:r>
          </w:p>
        </w:tc>
        <w:tc>
          <w:tcPr>
            <w:tcW w:w="1088" w:type="dxa"/>
            <w:vMerge w:val="restart"/>
            <w:vAlign w:val="center"/>
          </w:tcPr>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重量型横梁货架</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278" w:type="dxa"/>
            <w:vMerge w:val="restart"/>
            <w:vAlign w:val="center"/>
          </w:tcPr>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w:t>
            </w:r>
            <w:r>
              <w:rPr>
                <w:rFonts w:hint="eastAsia" w:ascii="仿宋_GB2312" w:hAnsi="仿宋_GB2312" w:eastAsia="仿宋_GB2312" w:cs="仿宋_GB2312"/>
                <w:szCs w:val="21"/>
              </w:rPr>
              <w:t>现代物流综合作业</w:t>
            </w:r>
          </w:p>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w:t>
            </w:r>
            <w:r>
              <w:rPr>
                <w:rFonts w:hint="eastAsia" w:ascii="仿宋_GB2312" w:hAnsi="仿宋_GB2312" w:eastAsia="仿宋_GB2312" w:cs="仿宋_GB2312"/>
                <w:szCs w:val="21"/>
              </w:rPr>
              <w:t>仓储作业流程</w:t>
            </w:r>
          </w:p>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w:t>
            </w:r>
            <w:r>
              <w:rPr>
                <w:rFonts w:hint="eastAsia" w:ascii="仿宋_GB2312" w:hAnsi="仿宋_GB2312" w:eastAsia="仿宋_GB2312" w:cs="仿宋_GB2312"/>
                <w:szCs w:val="21"/>
              </w:rPr>
              <w:t>运输作业流程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摘取式电子标签</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拣货设备</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无动力滚筒输送线</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手动液压托盘车</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全自动托盘搬运车</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半自动堆高车</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平板手推车</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针式打印机</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流利货架</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周转笼车</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条码打印机</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计时器</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黑白激光打印机</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无线手持终端</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无线手持终端</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无线手持终端</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仓储作业RF</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支持系统</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路由器</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MOOC物流专用教学云平台</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电子拣选系统</w:t>
            </w:r>
          </w:p>
        </w:tc>
        <w:tc>
          <w:tcPr>
            <w:tcW w:w="1154"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物流信息</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实训室 </w:t>
            </w:r>
          </w:p>
        </w:tc>
        <w:tc>
          <w:tcPr>
            <w:tcW w:w="1088"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叉车模拟器</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78" w:type="dxa"/>
            <w:vMerge w:val="restart"/>
            <w:vAlign w:val="center"/>
          </w:tcPr>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1.条码技术</w:t>
            </w:r>
          </w:p>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w:t>
            </w:r>
            <w:r>
              <w:rPr>
                <w:rFonts w:hint="eastAsia" w:ascii="仿宋_GB2312" w:hAnsi="仿宋_GB2312" w:eastAsia="仿宋_GB2312" w:cs="仿宋_GB2312"/>
                <w:szCs w:val="21"/>
              </w:rPr>
              <w:t>物流信息</w:t>
            </w:r>
          </w:p>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计算机</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针式打印机</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条码打印机</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条码RFID一体机</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条码检测仪</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电子标签试验箱</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条形码及控制系统</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物流机房</w:t>
            </w:r>
          </w:p>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p>
        </w:tc>
        <w:tc>
          <w:tcPr>
            <w:tcW w:w="1088" w:type="dxa"/>
            <w:vMerge w:val="restart"/>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服务器</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8" w:type="dxa"/>
            <w:vMerge w:val="restart"/>
            <w:vAlign w:val="center"/>
          </w:tcPr>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单证、</w:t>
            </w:r>
          </w:p>
          <w:p>
            <w:pPr>
              <w:snapToGrid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仓储、</w:t>
            </w:r>
          </w:p>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运输仿真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电脑</w:t>
            </w:r>
          </w:p>
        </w:tc>
        <w:tc>
          <w:tcPr>
            <w:tcW w:w="1154"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r>
              <w:rPr>
                <w:rFonts w:ascii="仿宋_GB2312" w:hAnsi="仿宋_GB2312" w:eastAsia="仿宋_GB2312" w:cs="仿宋_GB2312"/>
                <w:sz w:val="24"/>
              </w:rPr>
              <w:t>7</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物流叉车</w:t>
            </w:r>
          </w:p>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p>
        </w:tc>
        <w:tc>
          <w:tcPr>
            <w:tcW w:w="1088" w:type="dxa"/>
            <w:vMerge w:val="restart"/>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叉车（林德）</w:t>
            </w:r>
          </w:p>
        </w:tc>
        <w:tc>
          <w:tcPr>
            <w:tcW w:w="115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w:t>
            </w:r>
          </w:p>
        </w:tc>
        <w:tc>
          <w:tcPr>
            <w:tcW w:w="1278" w:type="dxa"/>
            <w:vMerge w:val="restart"/>
            <w:vAlign w:val="center"/>
          </w:tcPr>
          <w:p>
            <w:pPr>
              <w:snapToGrid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叉车操作</w:t>
            </w:r>
          </w:p>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叉车（龙工G16B）</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叉车（龙工G18）</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叉车（杭州G18）</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8" w:type="dxa"/>
            <w:vMerge w:val="continue"/>
            <w:vAlign w:val="center"/>
          </w:tcPr>
          <w:p>
            <w:pPr>
              <w:autoSpaceDE w:val="0"/>
              <w:autoSpaceDN w:val="0"/>
              <w:adjustRightInd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97"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485"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基础实训室 </w:t>
            </w:r>
          </w:p>
        </w:tc>
        <w:tc>
          <w:tcPr>
            <w:tcW w:w="1421"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物流电商</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实训室 </w:t>
            </w:r>
          </w:p>
        </w:tc>
        <w:tc>
          <w:tcPr>
            <w:tcW w:w="1088"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95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服务器</w:t>
            </w:r>
          </w:p>
        </w:tc>
        <w:tc>
          <w:tcPr>
            <w:tcW w:w="11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8" w:type="dxa"/>
            <w:vMerge w:val="restart"/>
            <w:vAlign w:val="center"/>
          </w:tcPr>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1.物流职业素养的考核实训</w:t>
            </w:r>
          </w:p>
          <w:p>
            <w:pPr>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2.作业任务优化的实训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打印机</w:t>
            </w:r>
          </w:p>
        </w:tc>
        <w:tc>
          <w:tcPr>
            <w:tcW w:w="1154"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1</w:t>
            </w:r>
          </w:p>
        </w:tc>
        <w:tc>
          <w:tcPr>
            <w:tcW w:w="127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79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电脑</w:t>
            </w:r>
          </w:p>
        </w:tc>
        <w:tc>
          <w:tcPr>
            <w:tcW w:w="1154"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10</w:t>
            </w:r>
          </w:p>
        </w:tc>
        <w:tc>
          <w:tcPr>
            <w:tcW w:w="127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08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56"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货架</w:t>
            </w:r>
          </w:p>
        </w:tc>
        <w:tc>
          <w:tcPr>
            <w:tcW w:w="1154"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宋体" w:eastAsia="仿宋_GB2312"/>
                <w:szCs w:val="21"/>
              </w:rPr>
              <w:t>3</w:t>
            </w:r>
          </w:p>
        </w:tc>
        <w:tc>
          <w:tcPr>
            <w:tcW w:w="127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bl>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3.校外实习场所基本要求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根据本专业人才培养的需要，校外实习基地应不少于</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 xml:space="preserve">个，能够提供仓储管理、运输调度、快递员等实习岗位，可接纳物流服务与管理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24"/>
        </w:rPr>
        <w:t>表11  物流服务与管理专业校外实习基地一览表</w:t>
      </w:r>
    </w:p>
    <w:tbl>
      <w:tblPr>
        <w:tblStyle w:val="15"/>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082"/>
        <w:gridCol w:w="525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autoSpaceDE w:val="0"/>
              <w:autoSpaceDN w:val="0"/>
              <w:adjustRightInd w:val="0"/>
              <w:spacing w:line="560" w:lineRule="exact"/>
              <w:jc w:val="center"/>
              <w:rPr>
                <w:rFonts w:ascii="黑体" w:hAnsi="黑体" w:eastAsia="黑体" w:cs="仿宋_GB2312"/>
                <w:szCs w:val="21"/>
              </w:rPr>
            </w:pPr>
            <w:r>
              <w:rPr>
                <w:rFonts w:hint="eastAsia" w:ascii="黑体" w:hAnsi="黑体" w:eastAsia="黑体" w:cs="仿宋_GB2312"/>
                <w:szCs w:val="21"/>
              </w:rPr>
              <w:t>序号</w:t>
            </w:r>
          </w:p>
        </w:tc>
        <w:tc>
          <w:tcPr>
            <w:tcW w:w="2082" w:type="dxa"/>
          </w:tcPr>
          <w:p>
            <w:pPr>
              <w:autoSpaceDE w:val="0"/>
              <w:autoSpaceDN w:val="0"/>
              <w:adjustRightInd w:val="0"/>
              <w:spacing w:line="560" w:lineRule="exact"/>
              <w:jc w:val="center"/>
              <w:rPr>
                <w:rFonts w:ascii="黑体" w:hAnsi="黑体" w:eastAsia="黑体" w:cs="仿宋_GB2312"/>
                <w:szCs w:val="21"/>
              </w:rPr>
            </w:pPr>
            <w:r>
              <w:rPr>
                <w:rFonts w:hint="eastAsia" w:ascii="黑体" w:hAnsi="黑体" w:eastAsia="黑体" w:cs="仿宋_GB2312"/>
                <w:szCs w:val="21"/>
              </w:rPr>
              <w:t>实习基地名称</w:t>
            </w:r>
          </w:p>
        </w:tc>
        <w:tc>
          <w:tcPr>
            <w:tcW w:w="5253" w:type="dxa"/>
          </w:tcPr>
          <w:p>
            <w:pPr>
              <w:autoSpaceDE w:val="0"/>
              <w:autoSpaceDN w:val="0"/>
              <w:adjustRightInd w:val="0"/>
              <w:spacing w:line="560" w:lineRule="exact"/>
              <w:jc w:val="center"/>
              <w:rPr>
                <w:rFonts w:ascii="黑体" w:hAnsi="黑体" w:eastAsia="黑体" w:cs="仿宋_GB2312"/>
                <w:szCs w:val="21"/>
              </w:rPr>
            </w:pPr>
            <w:r>
              <w:rPr>
                <w:rFonts w:hint="eastAsia" w:ascii="黑体" w:hAnsi="黑体" w:eastAsia="黑体" w:cs="仿宋_GB2312"/>
                <w:szCs w:val="21"/>
              </w:rPr>
              <w:t>实习任务及要求</w:t>
            </w:r>
          </w:p>
        </w:tc>
        <w:tc>
          <w:tcPr>
            <w:tcW w:w="1485" w:type="dxa"/>
          </w:tcPr>
          <w:p>
            <w:pPr>
              <w:autoSpaceDE w:val="0"/>
              <w:autoSpaceDN w:val="0"/>
              <w:adjustRightInd w:val="0"/>
              <w:spacing w:line="560" w:lineRule="exact"/>
              <w:jc w:val="center"/>
              <w:rPr>
                <w:rFonts w:ascii="黑体" w:hAnsi="黑体" w:eastAsia="黑体" w:cs="仿宋_GB2312"/>
                <w:szCs w:val="21"/>
              </w:rPr>
            </w:pPr>
            <w:r>
              <w:rPr>
                <w:rFonts w:hint="eastAsia" w:ascii="黑体" w:hAnsi="黑体" w:eastAsia="黑体" w:cs="仿宋_GB2312"/>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7" w:hRule="atLeast"/>
        </w:trPr>
        <w:tc>
          <w:tcPr>
            <w:tcW w:w="890"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082"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菜鸟驿站</w:t>
            </w:r>
          </w:p>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实习基地</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了解企业的组织架构、规章制度、企业文化和安全生产知识，通过快递员、国际快递处理师、快递站点管理师等岗位的实践，掌握快件收派作业、快件处理作业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ascii="仿宋_GB2312" w:hAnsi="仿宋_GB2312" w:eastAsia="仿宋_GB2312" w:cs="仿宋_GB2312"/>
                <w:szCs w:val="21"/>
              </w:rPr>
              <w:t>20</w:t>
            </w:r>
            <w:r>
              <w:rPr>
                <w:rFonts w:hint="eastAsia" w:ascii="仿宋_GB2312" w:hAnsi="仿宋_GB2312" w:eastAsia="仿宋_GB2312" w:cs="仿宋_GB2312"/>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082"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家家悦</w:t>
            </w:r>
          </w:p>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实习基地</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了解企业的组织架构、规章制度、企业文化和安全生产知识，通过单证员、仓储管理、运输调度等岗位的实践，掌握运输调度、仓管员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6</w:t>
            </w:r>
            <w:r>
              <w:rPr>
                <w:rFonts w:hint="eastAsia" w:ascii="仿宋_GB2312" w:hAnsi="仿宋_GB2312" w:eastAsia="仿宋_GB2312" w:cs="仿宋_GB2312"/>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082"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威海市三悦户外用品有限公司</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了解企业的组织架构、规章制度、企业文化和安全生产知识，通过仓储管理、配送等岗位的实践，掌握仓管员、配送员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autoSpaceDE w:val="0"/>
              <w:autoSpaceDN w:val="0"/>
              <w:adjustRightIn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r>
              <w:rPr>
                <w:rFonts w:ascii="仿宋_GB2312" w:hAnsi="仿宋_GB2312" w:eastAsia="仿宋_GB2312" w:cs="仿宋_GB2312"/>
                <w:szCs w:val="21"/>
              </w:rPr>
              <w:t>0</w:t>
            </w:r>
            <w:r>
              <w:rPr>
                <w:rFonts w:hint="eastAsia" w:ascii="仿宋_GB2312" w:hAnsi="仿宋_GB2312" w:eastAsia="仿宋_GB2312" w:cs="仿宋_GB2312"/>
                <w:szCs w:val="21"/>
              </w:rPr>
              <w:t>人</w:t>
            </w:r>
          </w:p>
        </w:tc>
      </w:tr>
    </w:tbl>
    <w:p>
      <w:pPr>
        <w:keepNext w:val="0"/>
        <w:keepLines w:val="0"/>
        <w:pageBreakBefore w:val="0"/>
        <w:numPr>
          <w:ilvl w:val="0"/>
          <w:numId w:val="2"/>
        </w:numPr>
        <w:kinsoku/>
        <w:wordWrap/>
        <w:overflowPunct/>
        <w:topLinePunct w:val="0"/>
        <w:bidi w:val="0"/>
        <w:adjustRightInd w:val="0"/>
        <w:spacing w:line="580" w:lineRule="exact"/>
        <w:ind w:firstLine="640" w:firstLineChars="200"/>
        <w:rPr>
          <w:rFonts w:ascii="楷体" w:hAnsi="楷体" w:eastAsia="楷体" w:cs="楷体"/>
          <w:sz w:val="32"/>
          <w:szCs w:val="32"/>
        </w:rPr>
      </w:pPr>
      <w:r>
        <w:rPr>
          <w:rFonts w:hint="eastAsia" w:ascii="楷体" w:hAnsi="楷体" w:eastAsia="楷体" w:cs="楷体"/>
          <w:sz w:val="32"/>
          <w:szCs w:val="32"/>
        </w:rPr>
        <w:t>教学资源</w:t>
      </w:r>
    </w:p>
    <w:p>
      <w:pPr>
        <w:keepNext w:val="0"/>
        <w:keepLines w:val="0"/>
        <w:pageBreakBefore w:val="0"/>
        <w:kinsoku/>
        <w:wordWrap/>
        <w:overflowPunct/>
        <w:topLinePunct w:val="0"/>
        <w:bidi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主要包括能满足学生专业学习、教师专业教学研究和教学实施需要的教材、图书和数字资源等。</w:t>
      </w:r>
    </w:p>
    <w:p>
      <w:pPr>
        <w:keepNext w:val="0"/>
        <w:keepLines w:val="0"/>
        <w:pageBreakBefore w:val="0"/>
        <w:kinsoku/>
        <w:wordWrap/>
        <w:overflowPunct/>
        <w:topLinePunct w:val="0"/>
        <w:bidi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1.教材选用要求</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2.图书资料配备要求</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专业相关图书文献配备应能满足人才培养、专业建设、教科研等工作需要，方便师生查询、借阅，且定期更新。主要包括有关《物流竞争》、《中国物流》、《物流指闻》等技术类和案例类图书，以及《中国物流与采购》、《物流》、《商业时代》等专业学术期刊。</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3.数字资源配置要求</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利用学校教育资源平台和智慧树等网络教学平台，开发和配备一批教学课件、数字化教学案例库、虚拟仿真软件、在线精品课程等，实训室根据承担得实训项目配备项目教学指导性文件和操作过程微课资源；对接“1+x</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职业技能等级证书标准，明确考核内容和形式，优化课程设置和教学内容，开发相应的校本培训教材，形成种类丰富、形成多样、使用便捷、动态更新、满足教学得的数字化资源库。</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（四）教学方法</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坚持立德树人根本任务，在教学过程中，注重思政课程和课程思政相结合，达到人才培养规格的素质要求。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2.专业（技能）课</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sz w:val="32"/>
          <w:szCs w:val="32"/>
        </w:rPr>
        <w:t>习效率。</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hint="eastAsia" w:ascii="楷体" w:hAnsi="楷体" w:eastAsia="楷体" w:cs="楷体"/>
          <w:sz w:val="32"/>
          <w:szCs w:val="32"/>
        </w:rPr>
      </w:pP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楷体" w:hAnsi="楷体" w:eastAsia="楷体" w:cs="楷体"/>
          <w:sz w:val="32"/>
          <w:szCs w:val="32"/>
        </w:rPr>
      </w:pPr>
      <w:r>
        <w:rPr>
          <w:rFonts w:hint="eastAsia" w:ascii="楷体" w:hAnsi="楷体" w:eastAsia="楷体" w:cs="楷体"/>
          <w:sz w:val="32"/>
          <w:szCs w:val="32"/>
        </w:rPr>
        <w:t>（五）学习评价</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numPr>
          <w:ilvl w:val="0"/>
          <w:numId w:val="3"/>
        </w:numPr>
        <w:kinsoku/>
        <w:wordWrap/>
        <w:overflowPunct/>
        <w:topLinePunct w:val="0"/>
        <w:autoSpaceDE w:val="0"/>
        <w:autoSpaceDN w:val="0"/>
        <w:bidi w:val="0"/>
        <w:adjustRightInd w:val="0"/>
        <w:spacing w:line="580" w:lineRule="exact"/>
        <w:ind w:firstLine="640" w:firstLineChars="200"/>
        <w:rPr>
          <w:rFonts w:ascii="楷体" w:hAnsi="楷体" w:eastAsia="楷体" w:cs="楷体"/>
          <w:sz w:val="32"/>
          <w:szCs w:val="32"/>
        </w:rPr>
      </w:pPr>
      <w:r>
        <w:rPr>
          <w:rFonts w:hint="eastAsia" w:ascii="楷体" w:hAnsi="楷体" w:eastAsia="楷体" w:cs="楷体"/>
          <w:sz w:val="32"/>
          <w:szCs w:val="32"/>
        </w:rPr>
        <w:t>质量管理</w:t>
      </w:r>
    </w:p>
    <w:p>
      <w:pPr>
        <w:keepNext w:val="0"/>
        <w:keepLines w:val="0"/>
        <w:pageBreakBefore w:val="0"/>
        <w:kinsoku/>
        <w:wordWrap/>
        <w:overflowPunct/>
        <w:topLinePunct w:val="0"/>
        <w:autoSpaceDE w:val="0"/>
        <w:bidi w:val="0"/>
        <w:adjustRightInd w:val="0"/>
        <w:snapToGrid w:val="0"/>
        <w:spacing w:line="58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kinsoku/>
        <w:wordWrap/>
        <w:overflowPunct/>
        <w:topLinePunct w:val="0"/>
        <w:autoSpaceDE w:val="0"/>
        <w:bidi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sz w:val="32"/>
          <w:szCs w:val="32"/>
        </w:rPr>
        <w:t>专业教研组织应充分利用评价分析结果有效改进专业教学，持续提高人才培养质量。</w:t>
      </w:r>
    </w:p>
    <w:p>
      <w:pPr>
        <w:keepNext w:val="0"/>
        <w:keepLines w:val="0"/>
        <w:pageBreakBefore w:val="0"/>
        <w:kinsoku/>
        <w:wordWrap/>
        <w:overflowPunct/>
        <w:topLinePunct w:val="0"/>
        <w:autoSpaceDE w:val="0"/>
        <w:bidi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kinsoku/>
        <w:wordWrap/>
        <w:overflowPunct/>
        <w:topLinePunct w:val="0"/>
        <w:autoSpaceDE w:val="0"/>
        <w:autoSpaceDN w:val="0"/>
        <w:bidi w:val="0"/>
        <w:adjustRightInd w:val="0"/>
        <w:spacing w:line="580" w:lineRule="exact"/>
        <w:ind w:firstLine="640" w:firstLineChars="200"/>
        <w:rPr>
          <w:rFonts w:ascii="黑体" w:hAnsi="黑体" w:eastAsia="黑体" w:cs="黑体"/>
          <w:sz w:val="32"/>
          <w:szCs w:val="32"/>
        </w:rPr>
      </w:pPr>
      <w:r>
        <w:rPr>
          <w:rFonts w:hint="eastAsia" w:ascii="黑体" w:hAnsi="黑体" w:eastAsia="黑体" w:cs="黑体"/>
          <w:sz w:val="32"/>
          <w:szCs w:val="32"/>
        </w:rPr>
        <w:t>十一、毕业要求</w:t>
      </w:r>
    </w:p>
    <w:p>
      <w:pPr>
        <w:keepNext w:val="0"/>
        <w:keepLines w:val="0"/>
        <w:pageBreakBefore w:val="0"/>
        <w:widowControl/>
        <w:shd w:val="clear" w:color="auto" w:fill="FFFFFF"/>
        <w:kinsoku/>
        <w:wordWrap/>
        <w:overflowPunct/>
        <w:topLinePunct w:val="0"/>
        <w:bidi w:val="0"/>
        <w:spacing w:line="580" w:lineRule="exact"/>
        <w:ind w:firstLine="640" w:firstLineChars="200"/>
        <w:jc w:val="both"/>
        <w:rPr>
          <w:rFonts w:ascii="仿宋_GB2312" w:hAnsi="仿宋_GB2312" w:eastAsia="仿宋_GB2312" w:cs="仿宋_GB2312"/>
          <w:kern w:val="0"/>
          <w:sz w:val="32"/>
          <w:szCs w:val="32"/>
          <w:shd w:val="clear" w:color="auto" w:fill="FFFFFF"/>
          <w:lang w:bidi="ar"/>
        </w:rPr>
      </w:pPr>
      <w:r>
        <w:rPr>
          <w:rFonts w:hint="eastAsia" w:ascii="楷体" w:hAnsi="楷体" w:eastAsia="楷体" w:cs="楷体"/>
          <w:kern w:val="0"/>
          <w:sz w:val="32"/>
          <w:szCs w:val="32"/>
          <w:shd w:val="clear" w:color="auto" w:fill="FFFFFF"/>
          <w:lang w:bidi="ar"/>
        </w:rPr>
        <w:t>（一）思想品德。</w:t>
      </w:r>
      <w:r>
        <w:rPr>
          <w:rFonts w:hint="eastAsia" w:ascii="仿宋_GB2312" w:hAnsi="仿宋_GB2312" w:eastAsia="仿宋_GB2312" w:cs="仿宋_GB2312"/>
          <w:kern w:val="0"/>
          <w:sz w:val="32"/>
          <w:szCs w:val="32"/>
          <w:shd w:val="clear" w:color="auto" w:fill="FFFFFF"/>
          <w:lang w:bidi="ar"/>
        </w:rPr>
        <w:t>在校学习期间（含校外岗位实习期间）无违法或严重违纪行为，思想品德评定合格。</w:t>
      </w:r>
    </w:p>
    <w:p>
      <w:pPr>
        <w:keepNext w:val="0"/>
        <w:keepLines w:val="0"/>
        <w:pageBreakBefore w:val="0"/>
        <w:widowControl/>
        <w:shd w:val="clear" w:color="auto" w:fill="FFFFFF"/>
        <w:kinsoku/>
        <w:wordWrap/>
        <w:overflowPunct/>
        <w:topLinePunct w:val="0"/>
        <w:bidi w:val="0"/>
        <w:spacing w:line="580" w:lineRule="exact"/>
        <w:ind w:firstLine="640" w:firstLineChars="200"/>
        <w:jc w:val="both"/>
        <w:rPr>
          <w:rFonts w:ascii="仿宋_GB2312" w:hAnsi="仿宋_GB2312" w:eastAsia="仿宋_GB2312" w:cs="仿宋_GB2312"/>
          <w:kern w:val="0"/>
          <w:sz w:val="32"/>
          <w:szCs w:val="32"/>
          <w:shd w:val="clear" w:color="auto" w:fill="FFFFFF"/>
          <w:lang w:bidi="ar"/>
        </w:rPr>
      </w:pPr>
      <w:r>
        <w:rPr>
          <w:rFonts w:hint="eastAsia" w:ascii="楷体" w:hAnsi="楷体" w:eastAsia="楷体" w:cs="楷体"/>
          <w:kern w:val="0"/>
          <w:sz w:val="32"/>
          <w:szCs w:val="32"/>
          <w:shd w:val="clear" w:color="auto" w:fill="FFFFFF"/>
          <w:lang w:bidi="ar"/>
        </w:rPr>
        <w:t>（二）学业成绩。</w:t>
      </w:r>
      <w:r>
        <w:rPr>
          <w:rFonts w:hint="eastAsia" w:ascii="仿宋_GB2312" w:hAnsi="仿宋_GB2312" w:eastAsia="仿宋_GB2312" w:cs="仿宋_GB2312"/>
          <w:kern w:val="0"/>
          <w:sz w:val="32"/>
          <w:szCs w:val="32"/>
          <w:shd w:val="clear" w:color="auto" w:fill="FFFFFF"/>
          <w:lang w:bidi="ar"/>
        </w:rPr>
        <w:t>在校期间，修完专业人才培养方案规定的所有课程，经考试或考查合格。</w:t>
      </w:r>
    </w:p>
    <w:p>
      <w:pPr>
        <w:keepNext w:val="0"/>
        <w:keepLines w:val="0"/>
        <w:pageBreakBefore w:val="0"/>
        <w:widowControl/>
        <w:shd w:val="clear" w:color="auto" w:fill="FFFFFF"/>
        <w:kinsoku/>
        <w:wordWrap/>
        <w:overflowPunct/>
        <w:topLinePunct w:val="0"/>
        <w:bidi w:val="0"/>
        <w:spacing w:line="580" w:lineRule="exact"/>
        <w:ind w:firstLine="640" w:firstLineChars="200"/>
        <w:jc w:val="both"/>
        <w:rPr>
          <w:rFonts w:ascii="仿宋_GB2312" w:hAnsi="仿宋_GB2312" w:eastAsia="仿宋_GB2312" w:cs="仿宋_GB2312"/>
          <w:kern w:val="0"/>
          <w:sz w:val="32"/>
          <w:szCs w:val="32"/>
          <w:shd w:val="clear" w:color="auto" w:fill="FFFFFF"/>
          <w:lang w:bidi="ar"/>
        </w:rPr>
      </w:pPr>
      <w:r>
        <w:rPr>
          <w:rFonts w:hint="eastAsia" w:ascii="楷体" w:hAnsi="楷体" w:eastAsia="楷体" w:cs="楷体"/>
          <w:kern w:val="0"/>
          <w:sz w:val="32"/>
          <w:szCs w:val="32"/>
          <w:shd w:val="clear" w:color="auto" w:fill="FFFFFF"/>
          <w:lang w:bidi="ar"/>
        </w:rPr>
        <w:t>（三）实习合格。</w:t>
      </w:r>
      <w:r>
        <w:rPr>
          <w:rFonts w:hint="eastAsia" w:ascii="仿宋_GB2312" w:hAnsi="仿宋_GB2312" w:eastAsia="仿宋_GB2312" w:cs="仿宋_GB2312"/>
          <w:kern w:val="0"/>
          <w:sz w:val="32"/>
          <w:szCs w:val="32"/>
          <w:shd w:val="clear" w:color="auto" w:fill="FFFFFF"/>
          <w:lang w:bidi="ar"/>
        </w:rPr>
        <w:t>岗位实习期满，经学校、企业共同鉴定，实习成绩合格。</w:t>
      </w:r>
    </w:p>
    <w:p>
      <w:pPr>
        <w:keepNext w:val="0"/>
        <w:keepLines w:val="0"/>
        <w:pageBreakBefore w:val="0"/>
        <w:kinsoku/>
        <w:wordWrap/>
        <w:overflowPunct/>
        <w:topLinePunct w:val="0"/>
        <w:autoSpaceDE w:val="0"/>
        <w:autoSpaceDN w:val="0"/>
        <w:bidi w:val="0"/>
        <w:adjustRightInd w:val="0"/>
        <w:spacing w:line="58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十二、附录</w:t>
      </w:r>
    </w:p>
    <w:p>
      <w:pPr>
        <w:keepNext w:val="0"/>
        <w:keepLines w:val="0"/>
        <w:pageBreakBefore w:val="0"/>
        <w:kinsoku/>
        <w:wordWrap/>
        <w:overflowPunct/>
        <w:topLinePunct w:val="0"/>
        <w:autoSpaceDE w:val="0"/>
        <w:autoSpaceDN w:val="0"/>
        <w:bidi w:val="0"/>
        <w:adjustRightInd w:val="0"/>
        <w:spacing w:line="580" w:lineRule="exact"/>
        <w:ind w:firstLine="640" w:firstLineChars="200"/>
        <w:jc w:val="both"/>
        <w:rPr>
          <w:rFonts w:ascii="仿宋_GB2312" w:hAnsi="仿宋_GB2312" w:eastAsia="仿宋_GB2312" w:cs="仿宋_GB2312"/>
          <w:sz w:val="32"/>
          <w:szCs w:val="32"/>
        </w:rPr>
      </w:pPr>
      <w:r>
        <w:rPr>
          <w:rFonts w:hint="eastAsia" w:ascii="黑体" w:hAnsi="黑体" w:eastAsia="黑体" w:cs="黑体"/>
          <w:sz w:val="32"/>
          <w:szCs w:val="32"/>
        </w:rPr>
        <w:t xml:space="preserve">  </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岗课赛证与职业能力分析表</w:t>
      </w:r>
      <w:r>
        <w:rPr>
          <w:rFonts w:ascii="仿宋_GB2312" w:hAnsi="仿宋_GB2312" w:eastAsia="仿宋_GB2312" w:cs="仿宋_GB2312"/>
          <w:sz w:val="32"/>
          <w:szCs w:val="32"/>
        </w:rPr>
        <w:t xml:space="preserve"> </w:t>
      </w:r>
    </w:p>
    <w:p>
      <w:pPr>
        <w:keepNext w:val="0"/>
        <w:keepLines w:val="0"/>
        <w:pageBreakBefore w:val="0"/>
        <w:kinsoku/>
        <w:wordWrap/>
        <w:overflowPunct/>
        <w:topLinePunct w:val="0"/>
        <w:autoSpaceDE w:val="0"/>
        <w:autoSpaceDN w:val="0"/>
        <w:bidi w:val="0"/>
        <w:adjustRightInd w:val="0"/>
        <w:spacing w:line="58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2.教学进程变更申请表</w:t>
      </w:r>
    </w:p>
    <w:p>
      <w:pPr>
        <w:widowControl/>
        <w:jc w:val="left"/>
        <w:rPr>
          <w:rFonts w:ascii="仿宋_GB2312" w:hAnsi="仿宋_GB2312" w:eastAsia="仿宋_GB2312" w:cs="仿宋_GB2312"/>
          <w:sz w:val="32"/>
          <w:szCs w:val="32"/>
        </w:rPr>
        <w:sectPr>
          <w:footerReference r:id="rId9" w:type="default"/>
          <w:pgSz w:w="11906" w:h="16838"/>
          <w:pgMar w:top="2041" w:right="1531" w:bottom="1985" w:left="1531" w:header="0" w:footer="1136" w:gutter="0"/>
          <w:pgNumType w:fmt="numberInDash"/>
          <w:cols w:space="720" w:num="1"/>
          <w:docGrid w:linePitch="286" w:charSpace="0"/>
        </w:sectPr>
      </w:pPr>
      <w:r>
        <w:rPr>
          <w:rFonts w:ascii="仿宋_GB2312" w:hAnsi="仿宋_GB2312" w:eastAsia="仿宋_GB2312" w:cs="仿宋_GB2312"/>
          <w:sz w:val="32"/>
          <w:szCs w:val="32"/>
        </w:rPr>
        <w:br w:type="page"/>
      </w:r>
    </w:p>
    <w:p>
      <w:pPr>
        <w:autoSpaceDE w:val="0"/>
        <w:autoSpaceDN w:val="0"/>
        <w:adjustRightInd w:val="0"/>
        <w:spacing w:line="520" w:lineRule="exac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w:t>
      </w:r>
      <w:r>
        <w:rPr>
          <w:rFonts w:hint="eastAsia" w:ascii="仿宋_GB2312" w:hAnsi="仿宋_GB2312" w:eastAsia="仿宋_GB2312" w:cs="仿宋_GB2312"/>
          <w:sz w:val="32"/>
          <w:szCs w:val="32"/>
        </w:rPr>
        <w:t>录</w:t>
      </w:r>
      <w:r>
        <w:rPr>
          <w:rFonts w:hint="eastAsia" w:ascii="仿宋_GB2312" w:hAnsi="仿宋_GB2312" w:eastAsia="仿宋_GB2312" w:cs="仿宋_GB2312"/>
          <w:kern w:val="0"/>
          <w:sz w:val="32"/>
          <w:szCs w:val="32"/>
        </w:rPr>
        <w:t>1：</w:t>
      </w:r>
    </w:p>
    <w:p>
      <w:pPr>
        <w:adjustRightInd w:val="0"/>
        <w:snapToGrid w:val="0"/>
        <w:spacing w:line="580" w:lineRule="exact"/>
        <w:ind w:firstLine="2880" w:firstLineChars="800"/>
        <w:rPr>
          <w:rFonts w:ascii="宋体" w:hAnsi="宋体" w:cs="宋体"/>
          <w:kern w:val="0"/>
          <w:szCs w:val="21"/>
        </w:rPr>
      </w:pPr>
      <w:r>
        <w:rPr>
          <w:rFonts w:hint="eastAsia" w:ascii="方正小标宋简体" w:hAnsi="方正小标宋简体" w:eastAsia="方正小标宋简体" w:cs="方正小标宋_GBK"/>
          <w:kern w:val="0"/>
          <w:sz w:val="36"/>
          <w:szCs w:val="36"/>
        </w:rPr>
        <w:t>物流服务与管理专业岗课赛证与职业能力分析表</w:t>
      </w:r>
    </w:p>
    <w:tbl>
      <w:tblPr>
        <w:tblStyle w:val="15"/>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53"/>
        <w:gridCol w:w="3441"/>
        <w:gridCol w:w="3315"/>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pStyle w:val="28"/>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职业岗位</w:t>
            </w:r>
          </w:p>
        </w:tc>
        <w:tc>
          <w:tcPr>
            <w:tcW w:w="1653" w:type="dxa"/>
            <w:tcBorders>
              <w:top w:val="single" w:color="auto" w:sz="4" w:space="0"/>
              <w:left w:val="single" w:color="auto" w:sz="4" w:space="0"/>
              <w:bottom w:val="single" w:color="auto" w:sz="4" w:space="0"/>
              <w:right w:val="single" w:color="auto" w:sz="4" w:space="0"/>
            </w:tcBorders>
            <w:vAlign w:val="center"/>
          </w:tcPr>
          <w:p>
            <w:pPr>
              <w:pStyle w:val="28"/>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3441" w:type="dxa"/>
            <w:tcBorders>
              <w:top w:val="single" w:color="auto" w:sz="4" w:space="0"/>
              <w:left w:val="single" w:color="auto" w:sz="4" w:space="0"/>
              <w:bottom w:val="single" w:color="auto" w:sz="4" w:space="0"/>
              <w:right w:val="single" w:color="auto" w:sz="4" w:space="0"/>
            </w:tcBorders>
            <w:vAlign w:val="center"/>
          </w:tcPr>
          <w:p>
            <w:pPr>
              <w:pStyle w:val="28"/>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黑体"/>
                <w:kern w:val="0"/>
                <w:szCs w:val="21"/>
              </w:rPr>
            </w:pPr>
          </w:p>
          <w:p>
            <w:pPr>
              <w:widowControl/>
              <w:jc w:val="center"/>
              <w:rPr>
                <w:rFonts w:ascii="黑体" w:hAnsi="黑体" w:eastAsia="黑体" w:cs="黑体"/>
                <w:kern w:val="0"/>
                <w:szCs w:val="21"/>
              </w:rPr>
            </w:pPr>
            <w:r>
              <w:rPr>
                <w:rFonts w:hint="eastAsia" w:ascii="黑体" w:hAnsi="黑体" w:eastAsia="黑体" w:cs="黑体"/>
                <w:kern w:val="0"/>
                <w:szCs w:val="21"/>
              </w:rPr>
              <w:t>职业资格标准</w:t>
            </w:r>
          </w:p>
          <w:p>
            <w:pPr>
              <w:widowControl/>
              <w:jc w:val="center"/>
              <w:rPr>
                <w:rFonts w:ascii="黑体" w:hAnsi="黑体" w:eastAsia="黑体" w:cs="黑体"/>
                <w:kern w:val="0"/>
                <w:szCs w:val="21"/>
              </w:rPr>
            </w:pPr>
            <w:r>
              <w:rPr>
                <w:rFonts w:hint="eastAsia" w:ascii="黑体" w:hAnsi="黑体" w:eastAsia="黑体" w:cs="黑体"/>
                <w:kern w:val="0"/>
                <w:szCs w:val="21"/>
              </w:rPr>
              <w:t>（职业技能等级标准）</w:t>
            </w:r>
          </w:p>
        </w:tc>
        <w:tc>
          <w:tcPr>
            <w:tcW w:w="2055" w:type="dxa"/>
            <w:tcBorders>
              <w:top w:val="single" w:color="auto" w:sz="4" w:space="0"/>
              <w:left w:val="single" w:color="auto" w:sz="4" w:space="0"/>
              <w:bottom w:val="single" w:color="auto" w:sz="4" w:space="0"/>
              <w:right w:val="single" w:color="auto" w:sz="4" w:space="0"/>
            </w:tcBorders>
            <w:vAlign w:val="center"/>
          </w:tcPr>
          <w:p>
            <w:pPr>
              <w:pStyle w:val="28"/>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职业技能大赛标准</w:t>
            </w:r>
          </w:p>
        </w:tc>
        <w:tc>
          <w:tcPr>
            <w:tcW w:w="2055" w:type="dxa"/>
            <w:tcBorders>
              <w:top w:val="single" w:color="auto" w:sz="4" w:space="0"/>
              <w:left w:val="single" w:color="auto" w:sz="4" w:space="0"/>
              <w:bottom w:val="single" w:color="auto" w:sz="4" w:space="0"/>
              <w:right w:val="single" w:color="auto" w:sz="4" w:space="0"/>
            </w:tcBorders>
            <w:vAlign w:val="center"/>
          </w:tcPr>
          <w:p>
            <w:pPr>
              <w:pStyle w:val="28"/>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127" w:type="dxa"/>
            <w:vMerge w:val="restart"/>
            <w:tcBorders>
              <w:top w:val="single" w:color="auto" w:sz="4" w:space="0"/>
              <w:left w:val="single" w:color="auto" w:sz="4" w:space="0"/>
              <w:right w:val="single" w:color="auto" w:sz="4" w:space="0"/>
            </w:tcBorders>
            <w:vAlign w:val="center"/>
          </w:tcPr>
          <w:p>
            <w:pPr>
              <w:pStyle w:val="28"/>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仓储</w:t>
            </w:r>
          </w:p>
          <w:p>
            <w:pPr>
              <w:pStyle w:val="28"/>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管理</w:t>
            </w:r>
          </w:p>
          <w:p>
            <w:pPr>
              <w:pStyle w:val="28"/>
              <w:widowControl/>
              <w:spacing w:line="320" w:lineRule="exact"/>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28"/>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1.仓储管理</w:t>
            </w:r>
          </w:p>
        </w:tc>
        <w:tc>
          <w:tcPr>
            <w:tcW w:w="3441" w:type="dxa"/>
            <w:tcBorders>
              <w:top w:val="single" w:color="auto" w:sz="4" w:space="0"/>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1.能做好产品的保管、出入库的验收登记、账物相符；</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2.会粘贴商品条码以及扫描的工作；</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能对每天的发货单签收回单，做好相关的记录；</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会进行各种盘点。</w:t>
            </w:r>
          </w:p>
        </w:tc>
        <w:tc>
          <w:tcPr>
            <w:tcW w:w="3315" w:type="dxa"/>
            <w:vMerge w:val="restart"/>
            <w:tcBorders>
              <w:top w:val="single" w:color="auto" w:sz="4" w:space="0"/>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能编制仓储业务相关单据；</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能组织资源实施仓储与配送作业计划；</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能处理仓储作业中的异常情况；</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能能阻止仓储与配送作业安全演练以及培训；</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能对仓储与配送作业质量进行控制；</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能分析仓储作业质量偏差原因并制定改进措施；</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能操作仓储应用的各种智能设备以及保养方法。</w:t>
            </w:r>
          </w:p>
        </w:tc>
        <w:tc>
          <w:tcPr>
            <w:tcW w:w="2055" w:type="dxa"/>
            <w:vMerge w:val="restart"/>
            <w:tcBorders>
              <w:top w:val="single" w:color="auto" w:sz="4" w:space="0"/>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1.智慧仓作业历史和数据加工、汇总与统计分析；</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会根据货品分类要求，进行货品A</w:t>
            </w:r>
            <w:r>
              <w:rPr>
                <w:rFonts w:ascii="仿宋_GB2312" w:hAnsi="仿宋_GB2312" w:eastAsia="仿宋_GB2312" w:cs="仿宋_GB2312"/>
                <w:kern w:val="0"/>
                <w:sz w:val="21"/>
                <w:szCs w:val="21"/>
              </w:rPr>
              <w:t>BC</w:t>
            </w:r>
            <w:r>
              <w:rPr>
                <w:rFonts w:hint="eastAsia" w:ascii="仿宋_GB2312" w:hAnsi="仿宋_GB2312" w:eastAsia="仿宋_GB2312" w:cs="仿宋_GB2312"/>
                <w:kern w:val="0"/>
                <w:sz w:val="21"/>
                <w:szCs w:val="21"/>
              </w:rPr>
              <w:t>分类；</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会根据智慧仓出入库和补货作业要求，计算货品补货点和补货量；</w:t>
            </w:r>
          </w:p>
          <w:p>
            <w:pPr>
              <w:pStyle w:val="28"/>
              <w:widowControl/>
              <w:spacing w:line="320" w:lineRule="exact"/>
              <w:rPr>
                <w:rFonts w:ascii="宋体" w:hAnsi="宋体" w:cs="宋体"/>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会根据要求完成入库、补货、移库、盘点出库等业务。</w:t>
            </w:r>
          </w:p>
        </w:tc>
        <w:tc>
          <w:tcPr>
            <w:tcW w:w="2055" w:type="dxa"/>
            <w:vMerge w:val="restart"/>
            <w:tcBorders>
              <w:top w:val="single" w:color="auto" w:sz="4" w:space="0"/>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《智慧物流》</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《仓储与配送实务》</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《叉车作业与管理》</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《物流设施设备应用》</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《物流数据分析》</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《物流成本核算》</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《物流单证实务》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127" w:type="dxa"/>
            <w:vMerge w:val="continue"/>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28"/>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2.理货</w:t>
            </w:r>
          </w:p>
        </w:tc>
        <w:tc>
          <w:tcPr>
            <w:tcW w:w="3441" w:type="dxa"/>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1.会与客户进行有效沟通、建立良好的工作关系；</w:t>
            </w:r>
          </w:p>
          <w:p>
            <w:pPr>
              <w:pStyle w:val="28"/>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会对货物进行整理和分类；</w:t>
            </w:r>
          </w:p>
          <w:p>
            <w:pPr>
              <w:pStyle w:val="28"/>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能熟练掌握货物的性质、特点和管理方法，会正确存储和维护货物。</w:t>
            </w:r>
          </w:p>
        </w:tc>
        <w:tc>
          <w:tcPr>
            <w:tcW w:w="3315" w:type="dxa"/>
            <w:vMerge w:val="continue"/>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127" w:type="dxa"/>
            <w:vMerge w:val="continue"/>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28"/>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智能物流</w:t>
            </w:r>
          </w:p>
          <w:p>
            <w:pPr>
              <w:pStyle w:val="28"/>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设备操作</w:t>
            </w:r>
          </w:p>
        </w:tc>
        <w:tc>
          <w:tcPr>
            <w:tcW w:w="3441" w:type="dxa"/>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1.会操作物流信息系统，能够准确获取、分析和处理物流信息；</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2.能熟练操作装卸货物、搬运、仓储等智能设备；</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能对紧急情况进行应急处理，能够应对突发情况并采取有效措施保障物流设备正常工作；</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会对各种设备进行维护和保养。</w:t>
            </w:r>
          </w:p>
        </w:tc>
        <w:tc>
          <w:tcPr>
            <w:tcW w:w="3315" w:type="dxa"/>
            <w:vMerge w:val="continue"/>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vAlign w:val="center"/>
          </w:tcPr>
          <w:p>
            <w:pPr>
              <w:widowControl/>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运输</w:t>
            </w:r>
          </w:p>
          <w:p>
            <w:pPr>
              <w:widowControl/>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管理</w:t>
            </w:r>
          </w:p>
          <w:p>
            <w:pPr>
              <w:widowControl/>
              <w:spacing w:line="320" w:lineRule="exact"/>
              <w:jc w:val="center"/>
              <w:rPr>
                <w:rFonts w:ascii="仿宋_GB2312" w:hAnsi="仿宋_GB2312" w:eastAsia="仿宋_GB2312" w:cs="仿宋_GB2312"/>
                <w:kern w:val="0"/>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28"/>
              <w:widowControl/>
              <w:spacing w:line="30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运输调度</w:t>
            </w:r>
          </w:p>
        </w:tc>
        <w:tc>
          <w:tcPr>
            <w:tcW w:w="3441" w:type="dxa"/>
            <w:tcBorders>
              <w:left w:val="single" w:color="auto" w:sz="4" w:space="0"/>
              <w:right w:val="single" w:color="auto" w:sz="4" w:space="0"/>
            </w:tcBorders>
            <w:vAlign w:val="center"/>
          </w:tcPr>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1.会根据货品信息进行判断运输方式，能分辨各种运输工具的特点和适用条件；</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2.能制定货物的运输计划，包括货物的装载、配送路线的规划等；</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会进行运输路径的优化；</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会计算运输成本；</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会操作运输调度系统。</w:t>
            </w:r>
          </w:p>
        </w:tc>
        <w:tc>
          <w:tcPr>
            <w:tcW w:w="3315" w:type="dxa"/>
            <w:vMerge w:val="restart"/>
            <w:tcBorders>
              <w:left w:val="single" w:color="auto" w:sz="4" w:space="0"/>
              <w:right w:val="single" w:color="auto" w:sz="4" w:space="0"/>
            </w:tcBorders>
            <w:vAlign w:val="center"/>
          </w:tcPr>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能制定车辆运输日常安全管理规范并及时处理安全隐患；</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能组织车辆运输安全演练以及培训；</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能对运输作业质量进行控制；</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能对车辆进行准确调度；</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能进行运输路径的规划；</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能优化配送路径节约成本；</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能制定不同规格货品的配装配载计划。</w:t>
            </w:r>
          </w:p>
        </w:tc>
        <w:tc>
          <w:tcPr>
            <w:tcW w:w="2055" w:type="dxa"/>
            <w:vMerge w:val="restart"/>
            <w:tcBorders>
              <w:left w:val="single" w:color="auto" w:sz="4" w:space="0"/>
              <w:right w:val="single" w:color="auto" w:sz="4" w:space="0"/>
            </w:tcBorders>
            <w:vAlign w:val="center"/>
          </w:tcPr>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能根据不同运输任务，选择最佳的运输方式；</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能根据运输货物的特点，选择适当的运输类型；</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能进行不同运输方式的费用计算；</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能根据运输作业起讫点，合理规划运输路线；</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能根据要求进行配装配载计划；</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能根据配送作业任务设计最优配送路线；</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能根据题目要求进行配送效率及效益分析。</w:t>
            </w:r>
          </w:p>
        </w:tc>
        <w:tc>
          <w:tcPr>
            <w:tcW w:w="2055" w:type="dxa"/>
            <w:vMerge w:val="restart"/>
            <w:tcBorders>
              <w:left w:val="single" w:color="auto" w:sz="4" w:space="0"/>
              <w:right w:val="single" w:color="auto" w:sz="4" w:space="0"/>
            </w:tcBorders>
            <w:vAlign w:val="center"/>
          </w:tcPr>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《运输实务》</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《供应链基础》</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《智慧物流技术与实务》</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《物流商务运营》</w:t>
            </w:r>
          </w:p>
          <w:p>
            <w:pPr>
              <w:pStyle w:val="28"/>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《物流企业管理》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vAlign w:val="center"/>
          </w:tcPr>
          <w:p>
            <w:pPr>
              <w:pStyle w:val="28"/>
              <w:spacing w:line="320" w:lineRule="exact"/>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28"/>
              <w:widowControl/>
              <w:spacing w:line="30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供应链管理</w:t>
            </w:r>
          </w:p>
        </w:tc>
        <w:tc>
          <w:tcPr>
            <w:tcW w:w="3441" w:type="dxa"/>
            <w:tcBorders>
              <w:left w:val="single" w:color="auto" w:sz="4" w:space="0"/>
              <w:right w:val="single" w:color="auto" w:sz="4" w:space="0"/>
            </w:tcBorders>
            <w:vAlign w:val="center"/>
          </w:tcPr>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1.会进行采购单的管理；</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2.会整合供应商资源，与供应商沟通；</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会优化采购业务。</w:t>
            </w:r>
          </w:p>
        </w:tc>
        <w:tc>
          <w:tcPr>
            <w:tcW w:w="3315" w:type="dxa"/>
            <w:vMerge w:val="continue"/>
            <w:tcBorders>
              <w:left w:val="single" w:color="auto" w:sz="4" w:space="0"/>
              <w:right w:val="single" w:color="auto" w:sz="4" w:space="0"/>
            </w:tcBorders>
            <w:vAlign w:val="center"/>
          </w:tcPr>
          <w:p>
            <w:pPr>
              <w:pStyle w:val="28"/>
              <w:widowControl/>
              <w:spacing w:line="300" w:lineRule="exact"/>
              <w:jc w:val="center"/>
              <w:rPr>
                <w:rFonts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vAlign w:val="center"/>
          </w:tcPr>
          <w:p>
            <w:pPr>
              <w:pStyle w:val="28"/>
              <w:widowControl/>
              <w:spacing w:line="300" w:lineRule="exact"/>
              <w:jc w:val="center"/>
              <w:rPr>
                <w:rFonts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vAlign w:val="center"/>
          </w:tcPr>
          <w:p>
            <w:pPr>
              <w:pStyle w:val="28"/>
              <w:widowControl/>
              <w:spacing w:line="320" w:lineRule="exact"/>
              <w:jc w:val="center"/>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vAlign w:val="center"/>
          </w:tcPr>
          <w:p>
            <w:pPr>
              <w:pStyle w:val="28"/>
              <w:spacing w:line="320" w:lineRule="exact"/>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28"/>
              <w:widowControl/>
              <w:spacing w:line="30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配送</w:t>
            </w:r>
          </w:p>
        </w:tc>
        <w:tc>
          <w:tcPr>
            <w:tcW w:w="3441" w:type="dxa"/>
            <w:tcBorders>
              <w:left w:val="single" w:color="auto" w:sz="4" w:space="0"/>
              <w:right w:val="single" w:color="auto" w:sz="4" w:space="0"/>
            </w:tcBorders>
            <w:vAlign w:val="center"/>
          </w:tcPr>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1.能正确把握配送的整个工作流程；</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2.会做配送过程中各种单据的清点以及填写；</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能对片区路段和客户分布情况掌握准确，保证配送的及时、准确、到位；</w:t>
            </w:r>
          </w:p>
          <w:p>
            <w:pPr>
              <w:pStyle w:val="28"/>
              <w:widowControl/>
              <w:spacing w:line="30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会计算配送成本。</w:t>
            </w:r>
          </w:p>
        </w:tc>
        <w:tc>
          <w:tcPr>
            <w:tcW w:w="3315" w:type="dxa"/>
            <w:vMerge w:val="continue"/>
            <w:tcBorders>
              <w:left w:val="single" w:color="auto" w:sz="4" w:space="0"/>
              <w:right w:val="single" w:color="auto" w:sz="4" w:space="0"/>
            </w:tcBorders>
            <w:vAlign w:val="center"/>
          </w:tcPr>
          <w:p>
            <w:pPr>
              <w:pStyle w:val="28"/>
              <w:widowControl/>
              <w:spacing w:line="300" w:lineRule="exact"/>
              <w:jc w:val="center"/>
              <w:rPr>
                <w:rFonts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vAlign w:val="center"/>
          </w:tcPr>
          <w:p>
            <w:pPr>
              <w:pStyle w:val="28"/>
              <w:widowControl/>
              <w:spacing w:line="300" w:lineRule="exact"/>
              <w:jc w:val="center"/>
              <w:rPr>
                <w:rFonts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vAlign w:val="center"/>
          </w:tcPr>
          <w:p>
            <w:pPr>
              <w:pStyle w:val="28"/>
              <w:widowControl/>
              <w:spacing w:line="320" w:lineRule="exact"/>
              <w:jc w:val="center"/>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bottom w:val="single" w:color="auto" w:sz="4" w:space="0"/>
              <w:right w:val="single" w:color="auto" w:sz="4" w:space="0"/>
            </w:tcBorders>
            <w:vAlign w:val="center"/>
          </w:tcPr>
          <w:p>
            <w:pPr>
              <w:pStyle w:val="28"/>
              <w:widowControl/>
              <w:spacing w:line="320" w:lineRule="exact"/>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28"/>
              <w:widowControl/>
              <w:spacing w:line="30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快递业务</w:t>
            </w:r>
          </w:p>
        </w:tc>
        <w:tc>
          <w:tcPr>
            <w:tcW w:w="3441" w:type="dxa"/>
            <w:tcBorders>
              <w:left w:val="single" w:color="auto" w:sz="4" w:space="0"/>
              <w:bottom w:val="single" w:color="auto" w:sz="4" w:space="0"/>
              <w:right w:val="single" w:color="auto" w:sz="4" w:space="0"/>
            </w:tcBorders>
            <w:vAlign w:val="center"/>
          </w:tcPr>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会对货物进行初步检验和交换；</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会操作快递系统、安全准时收送快件；</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会科学处理客户信息；</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特殊快件的处理方法；</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快递费用的计算。</w:t>
            </w:r>
          </w:p>
        </w:tc>
        <w:tc>
          <w:tcPr>
            <w:tcW w:w="3315" w:type="dxa"/>
            <w:tcBorders>
              <w:left w:val="single" w:color="auto" w:sz="4" w:space="0"/>
              <w:bottom w:val="single" w:color="auto" w:sz="4" w:space="0"/>
              <w:right w:val="single" w:color="auto" w:sz="4" w:space="0"/>
            </w:tcBorders>
            <w:vAlign w:val="center"/>
          </w:tcPr>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具备快递服务的相关知识、地理知识以及安全知识；</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会操作快递各种设备以及系统、平台；</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能对快递的整套业务流程、费用计算、客户维护等业务熟练掌握。</w:t>
            </w:r>
          </w:p>
        </w:tc>
        <w:tc>
          <w:tcPr>
            <w:tcW w:w="2055" w:type="dxa"/>
            <w:tcBorders>
              <w:left w:val="single" w:color="auto" w:sz="4" w:space="0"/>
              <w:bottom w:val="single" w:color="auto" w:sz="4" w:space="0"/>
              <w:right w:val="single" w:color="auto" w:sz="4" w:space="0"/>
            </w:tcBorders>
            <w:vAlign w:val="center"/>
          </w:tcPr>
          <w:p>
            <w:pPr>
              <w:pStyle w:val="28"/>
              <w:widowControl/>
              <w:spacing w:line="30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能根据快递行业常识处理各种问题；</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能操作快递业务流程；</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能操作快递物流信息系统；</w:t>
            </w:r>
          </w:p>
          <w:p>
            <w:pPr>
              <w:pStyle w:val="28"/>
              <w:widowControl/>
              <w:spacing w:line="30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能模拟日常快递处理流程。</w:t>
            </w:r>
          </w:p>
        </w:tc>
        <w:tc>
          <w:tcPr>
            <w:tcW w:w="2055" w:type="dxa"/>
            <w:tcBorders>
              <w:left w:val="single" w:color="auto" w:sz="4" w:space="0"/>
              <w:bottom w:val="single" w:color="auto" w:sz="4" w:space="0"/>
              <w:right w:val="single" w:color="auto" w:sz="4" w:space="0"/>
            </w:tcBorders>
            <w:vAlign w:val="center"/>
          </w:tcPr>
          <w:p>
            <w:pPr>
              <w:pStyle w:val="28"/>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《快递实务》</w:t>
            </w:r>
          </w:p>
          <w:p>
            <w:pPr>
              <w:pStyle w:val="28"/>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《物流信息技术》</w:t>
            </w:r>
          </w:p>
          <w:p>
            <w:pPr>
              <w:pStyle w:val="28"/>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《国际货代实务》</w:t>
            </w:r>
          </w:p>
        </w:tc>
      </w:tr>
    </w:tbl>
    <w:p>
      <w:pPr>
        <w:autoSpaceDE w:val="0"/>
        <w:autoSpaceDN w:val="0"/>
        <w:adjustRightInd w:val="0"/>
        <w:spacing w:line="520" w:lineRule="exact"/>
        <w:rPr>
          <w:rFonts w:ascii="宋体" w:hAnsi="宋体" w:cs="宋体"/>
          <w:sz w:val="24"/>
        </w:rPr>
        <w:sectPr>
          <w:pgSz w:w="16838" w:h="11906" w:orient="landscape"/>
          <w:pgMar w:top="1531" w:right="2041" w:bottom="1531" w:left="1985" w:header="0" w:footer="1136" w:gutter="0"/>
          <w:pgNumType w:fmt="numberInDash"/>
          <w:cols w:space="720" w:num="1"/>
          <w:docGrid w:linePitch="286" w:charSpace="0"/>
        </w:sectPr>
      </w:pPr>
    </w:p>
    <w:p>
      <w:pPr>
        <w:autoSpaceDE w:val="0"/>
        <w:autoSpaceDN w:val="0"/>
        <w:adjustRightInd w:val="0"/>
        <w:spacing w:line="520" w:lineRule="exact"/>
        <w:rPr>
          <w:rFonts w:ascii="宋体" w:hAnsi="宋体" w:cs="宋体"/>
          <w:sz w:val="28"/>
          <w:szCs w:val="28"/>
        </w:rPr>
      </w:pPr>
      <w:r>
        <w:rPr>
          <w:rFonts w:hint="eastAsia" w:ascii="仿宋_GB2312" w:hAnsi="仿宋_GB2312" w:eastAsia="仿宋_GB2312" w:cs="仿宋_GB2312"/>
          <w:kern w:val="0"/>
          <w:sz w:val="32"/>
          <w:szCs w:val="32"/>
        </w:rPr>
        <w:t>附</w:t>
      </w:r>
      <w:r>
        <w:rPr>
          <w:rFonts w:hint="eastAsia" w:ascii="仿宋_GB2312" w:hAnsi="仿宋_GB2312" w:eastAsia="仿宋_GB2312" w:cs="仿宋_GB2312"/>
          <w:sz w:val="32"/>
          <w:szCs w:val="32"/>
        </w:rPr>
        <w:t>录</w:t>
      </w:r>
      <w:r>
        <w:rPr>
          <w:rFonts w:hint="eastAsia" w:ascii="仿宋_GB2312" w:hAnsi="仿宋_GB2312" w:eastAsia="仿宋_GB2312" w:cs="仿宋_GB2312"/>
          <w:kern w:val="0"/>
          <w:sz w:val="32"/>
          <w:szCs w:val="32"/>
        </w:rPr>
        <w:t>2：</w:t>
      </w:r>
      <w:r>
        <w:rPr>
          <w:rFonts w:hint="eastAsia" w:ascii="宋体" w:hAnsi="宋体" w:cs="宋体"/>
          <w:sz w:val="24"/>
        </w:rPr>
        <w:t xml:space="preserve"> </w:t>
      </w:r>
      <w:r>
        <w:rPr>
          <w:rFonts w:hint="eastAsia" w:ascii="宋体" w:hAnsi="宋体" w:cs="宋体"/>
          <w:sz w:val="28"/>
          <w:szCs w:val="28"/>
        </w:rPr>
        <w:t xml:space="preserve">   </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5"/>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snapToGrid w:val="0"/>
        <w:spacing w:after="120" w:afterLines="50" w:line="560" w:lineRule="exact"/>
        <w:jc w:val="center"/>
        <w:rPr>
          <w:rFonts w:ascii="方正小标宋简体" w:hAnsi="方正小标宋简体" w:eastAsia="方正小标宋简体" w:cs="方正小标宋简体"/>
          <w:sz w:val="32"/>
          <w:szCs w:val="32"/>
        </w:rPr>
      </w:pPr>
      <w:bookmarkStart w:id="3" w:name="_Toc137069902"/>
      <w:bookmarkStart w:id="4" w:name="_Toc25631"/>
      <w:r>
        <w:rPr>
          <w:rFonts w:hint="eastAsia" w:ascii="方正小标宋简体" w:hAnsi="方正小标宋简体" w:eastAsia="方正小标宋简体" w:cs="方正小标宋简体"/>
          <w:sz w:val="32"/>
          <w:szCs w:val="32"/>
        </w:rPr>
        <w:t>物流</w:t>
      </w:r>
      <w:r>
        <w:rPr>
          <w:rFonts w:hint="eastAsia" w:ascii="方正小标宋简体" w:hAnsi="方正小标宋简体" w:eastAsia="方正小标宋简体" w:cs="方正小标宋简体"/>
          <w:sz w:val="32"/>
          <w:szCs w:val="32"/>
          <w:lang w:val="en-US" w:eastAsia="zh-CN"/>
        </w:rPr>
        <w:t>基础</w:t>
      </w:r>
      <w:r>
        <w:rPr>
          <w:rFonts w:hint="eastAsia" w:ascii="方正小标宋简体" w:hAnsi="方正小标宋简体" w:eastAsia="方正小标宋简体" w:cs="方正小标宋简体"/>
          <w:sz w:val="32"/>
          <w:szCs w:val="32"/>
        </w:rPr>
        <w:t>课程标准</w:t>
      </w:r>
      <w:bookmarkEnd w:id="3"/>
      <w:bookmarkEnd w:id="4"/>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物流</w:t>
      </w:r>
      <w:r>
        <w:rPr>
          <w:rFonts w:hint="eastAsia" w:ascii="仿宋_GB2312" w:hAnsi="仿宋_GB2312" w:eastAsia="仿宋_GB2312" w:cs="仿宋_GB2312"/>
          <w:sz w:val="32"/>
          <w:szCs w:val="32"/>
          <w:lang w:val="en-US" w:eastAsia="zh-CN" w:bidi="ar"/>
        </w:rPr>
        <w:t>基础</w:t>
      </w:r>
      <w:r>
        <w:rPr>
          <w:rFonts w:hint="eastAsia" w:ascii="仿宋_GB2312" w:hAnsi="仿宋_GB2312" w:eastAsia="仿宋_GB2312" w:cs="仿宋_GB2312"/>
          <w:sz w:val="32"/>
          <w:szCs w:val="32"/>
          <w:lang w:bidi="ar"/>
        </w:rPr>
        <w:t>是物流服务与管理专业的专业基础课程。通过本门课程的学习，旨在使学生了解物流产生和发展的过程、现代物流管理的理念、物流产业的发展趋势，认识各种类型物流企业，掌握物流各环节的功能，知晓物流企业的职能部门和岗位要求，掌握仓储、配送、运输、装卸搬运、物流信息技术等方面的知识和技能，培养学生独立理解、分析和解决简单物流问题的能力，为以后进一步深入学习物流相关专业课程打下坚实的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1.素质目标</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（1）具备坚定正确的政治方向、树立远大的理想抱负、确立科学的价值观念、增强自身的综合素养；</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（2）具备诚实守信的职业道德，培养爱岗敬业的精神和强烈的法律意识，具备良好的职业素养和职业精神；</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（3）具有社会主义核心价值观，精益求精的工匠精神；</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（4）具备诚实、守信、坚韧不拔的性格，良好的沟通能力、表达能力、团队协作能力，具有竞争意识，分析判断能力，开拓创新能力和科学决策能力。</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（1）熟悉物流的发展历程和发展趋势；</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（2）熟悉物流所包含的运输、仓储、配送、流通加工、包装、装卸搬运、信息处理七大基本功能要素；</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（3）熟悉不同类型的物流企业及其结构类型；</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（4）掌握仓储作业的主要流程及作业内容；</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（5）掌握运输的类型及合理化运输；</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（6）理解供应链管理思想，掌握各种设施设备的操作。</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3.能力目标</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（1）能准确辨识各类物流企业、物流活动；</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（2）掌握运输、仓储、配送、装卸搬运、包装、流通加工、信息处理等物流作业流程；</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（3）能准确辨识生产物流活动；</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（4）能根据具体情况选择各种运输方式；</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（5）会操作物流信息系统。</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36学时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tbl>
      <w:tblPr>
        <w:tblStyle w:val="15"/>
        <w:tblW w:w="93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083"/>
        <w:gridCol w:w="2986"/>
        <w:gridCol w:w="3775"/>
        <w:gridCol w:w="7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9"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083"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2986"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3775"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708"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Align w:val="center"/>
          </w:tcPr>
          <w:p>
            <w:pPr>
              <w:pStyle w:val="28"/>
              <w:widowControl/>
              <w:spacing w:line="340" w:lineRule="exact"/>
              <w:jc w:val="center"/>
              <w:rPr>
                <w:rFonts w:ascii="仿宋_GB2312" w:hAnsi="仿宋_GB2312" w:eastAsia="仿宋_GB2312" w:cs="仿宋_GB2312"/>
                <w:kern w:val="0"/>
                <w:lang w:bidi="ar"/>
              </w:rPr>
            </w:pPr>
            <w:r>
              <w:rPr>
                <w:rFonts w:hint="eastAsia" w:ascii="仿宋_GB2312" w:hAnsi="仿宋_GB2312" w:eastAsia="仿宋_GB2312" w:cs="仿宋_GB2312"/>
                <w:kern w:val="0"/>
                <w:sz w:val="21"/>
                <w:szCs w:val="21"/>
              </w:rPr>
              <w:t>1</w:t>
            </w:r>
          </w:p>
        </w:tc>
        <w:tc>
          <w:tcPr>
            <w:tcW w:w="1083" w:type="dxa"/>
            <w:vAlign w:val="center"/>
          </w:tcPr>
          <w:p>
            <w:pPr>
              <w:pStyle w:val="28"/>
              <w:widowControl/>
              <w:spacing w:line="340" w:lineRule="exact"/>
              <w:jc w:val="center"/>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项目一</w:t>
            </w:r>
          </w:p>
          <w:p>
            <w:pPr>
              <w:pStyle w:val="28"/>
              <w:widowControl/>
              <w:spacing w:line="340" w:lineRule="exact"/>
              <w:jc w:val="center"/>
              <w:rPr>
                <w:rFonts w:ascii="仿宋_GB2312" w:hAnsi="仿宋_GB2312" w:eastAsia="仿宋_GB2312" w:cs="仿宋_GB2312"/>
                <w:kern w:val="0"/>
                <w:lang w:bidi="ar"/>
              </w:rPr>
            </w:pPr>
            <w:r>
              <w:rPr>
                <w:rFonts w:hint="eastAsia" w:ascii="仿宋_GB2312" w:hAnsi="仿宋_GB2312" w:eastAsia="仿宋_GB2312" w:cs="仿宋_GB2312"/>
                <w:kern w:val="0"/>
                <w:sz w:val="21"/>
                <w:szCs w:val="21"/>
              </w:rPr>
              <w:t>走进物流</w:t>
            </w:r>
          </w:p>
        </w:tc>
        <w:tc>
          <w:tcPr>
            <w:tcW w:w="2986" w:type="dxa"/>
            <w:vAlign w:val="center"/>
          </w:tcPr>
          <w:p>
            <w:pPr>
              <w:pStyle w:val="28"/>
              <w:widowControl/>
              <w:spacing w:line="360" w:lineRule="exac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教学内容：</w:t>
            </w:r>
          </w:p>
          <w:p>
            <w:pPr>
              <w:pStyle w:val="28"/>
              <w:widowControl/>
              <w:spacing w:line="36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1.物流的内涵；</w:t>
            </w:r>
          </w:p>
          <w:p>
            <w:pPr>
              <w:pStyle w:val="28"/>
              <w:widowControl/>
              <w:spacing w:line="36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2.物流的发展历程；</w:t>
            </w:r>
          </w:p>
          <w:p>
            <w:pPr>
              <w:pStyle w:val="28"/>
              <w:widowControl/>
              <w:spacing w:line="36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3.物流系统构成；</w:t>
            </w:r>
          </w:p>
          <w:p>
            <w:pPr>
              <w:pStyle w:val="28"/>
              <w:widowControl/>
              <w:spacing w:line="36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4.物流行业的构成。</w:t>
            </w:r>
          </w:p>
          <w:p>
            <w:pPr>
              <w:pStyle w:val="28"/>
              <w:widowControl/>
              <w:spacing w:line="340" w:lineRule="exac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教学要求：</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1.掌握物流的内涵；</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2.掌握物流的发展历程；</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3.掌握物流系统构成；</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4.掌握物流行业的构成。</w:t>
            </w:r>
          </w:p>
        </w:tc>
        <w:tc>
          <w:tcPr>
            <w:tcW w:w="3775" w:type="dxa"/>
            <w:vAlign w:val="bottom"/>
          </w:tcPr>
          <w:p>
            <w:pPr>
              <w:pStyle w:val="28"/>
              <w:widowControl/>
              <w:spacing w:line="36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1.结合生活中的物流现象，培养学生感知物流产业的基础性地位，引导其产生物流行业从业的自豪感；</w:t>
            </w:r>
          </w:p>
          <w:p>
            <w:pPr>
              <w:pStyle w:val="28"/>
              <w:widowControl/>
              <w:spacing w:line="36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2.小组讨论生活中接触的物流活动；</w:t>
            </w:r>
          </w:p>
          <w:p>
            <w:pPr>
              <w:pStyle w:val="28"/>
              <w:widowControl/>
              <w:spacing w:line="36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.多媒体教学播放各类企业物流活动。</w:t>
            </w:r>
          </w:p>
        </w:tc>
        <w:tc>
          <w:tcPr>
            <w:tcW w:w="708" w:type="dxa"/>
            <w:vAlign w:val="center"/>
          </w:tcPr>
          <w:p>
            <w:pPr>
              <w:pStyle w:val="28"/>
              <w:widowControl/>
              <w:spacing w:line="340" w:lineRule="exact"/>
              <w:jc w:val="center"/>
              <w:rPr>
                <w:rFonts w:ascii="仿宋_GB2312" w:hAnsi="仿宋_GB2312" w:eastAsia="仿宋_GB2312" w:cs="仿宋_GB2312"/>
                <w:kern w:val="0"/>
                <w:lang w:bidi="ar"/>
              </w:rPr>
            </w:pPr>
            <w:r>
              <w:rPr>
                <w:rFonts w:hint="eastAsia" w:ascii="仿宋_GB2312" w:hAnsi="仿宋_GB2312" w:eastAsia="仿宋_GB2312" w:cs="仿宋_GB2312"/>
                <w:kern w:val="0"/>
                <w:sz w:val="21"/>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3" w:hRule="atLeast"/>
          <w:jc w:val="center"/>
        </w:trPr>
        <w:tc>
          <w:tcPr>
            <w:tcW w:w="769"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1083" w:type="dxa"/>
            <w:vAlign w:val="center"/>
          </w:tcPr>
          <w:p>
            <w:pPr>
              <w:pStyle w:val="28"/>
              <w:widowControl/>
              <w:spacing w:line="340" w:lineRule="exact"/>
              <w:jc w:val="center"/>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项目二</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体验物流活动</w:t>
            </w:r>
          </w:p>
        </w:tc>
        <w:tc>
          <w:tcPr>
            <w:tcW w:w="2986" w:type="dxa"/>
            <w:vAlign w:val="center"/>
          </w:tcPr>
          <w:p>
            <w:pPr>
              <w:pStyle w:val="28"/>
              <w:widowControl/>
              <w:spacing w:line="340" w:lineRule="exact"/>
              <w:jc w:val="lef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教学内容：</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1.物流活动的内容；</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2.物流作业环节的基本流程；</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3.常见的物流设施设备。</w:t>
            </w:r>
          </w:p>
          <w:p>
            <w:pPr>
              <w:pStyle w:val="28"/>
              <w:widowControl/>
              <w:spacing w:line="340" w:lineRule="exact"/>
              <w:jc w:val="lef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教学要求：</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1.能识别运输、仓储、配送、装卸搬运、包装、流通加工、物流信息处理等物流活动；</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2.会描述各物流作业环节的基本流程；</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3.会操作常见的物流设施设备。</w:t>
            </w:r>
          </w:p>
        </w:tc>
        <w:tc>
          <w:tcPr>
            <w:tcW w:w="3775" w:type="dxa"/>
            <w:vAlign w:val="center"/>
          </w:tcPr>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1.识别不同物流活动的工匠精神、创新元素</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2.多媒体教学播放各种物流活动；</w:t>
            </w:r>
          </w:p>
          <w:p>
            <w:pPr>
              <w:pStyle w:val="28"/>
              <w:widowControl/>
              <w:spacing w:line="340" w:lineRule="exact"/>
              <w:jc w:val="lef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.实训室演示各种物流作业活动，研讨其功能作用；</w:t>
            </w:r>
          </w:p>
          <w:p>
            <w:pPr>
              <w:pStyle w:val="28"/>
              <w:widowControl/>
              <w:spacing w:line="340" w:lineRule="exact"/>
              <w:jc w:val="lef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.学生设计完成物流任务来体验物流活动；</w:t>
            </w:r>
          </w:p>
          <w:p>
            <w:pPr>
              <w:pStyle w:val="28"/>
              <w:widowControl/>
              <w:spacing w:line="340" w:lineRule="exact"/>
              <w:jc w:val="lef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.去企业参观各类物流活动。</w:t>
            </w:r>
          </w:p>
        </w:tc>
        <w:tc>
          <w:tcPr>
            <w:tcW w:w="708"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769"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083" w:type="dxa"/>
            <w:vAlign w:val="center"/>
          </w:tcPr>
          <w:p>
            <w:pPr>
              <w:pStyle w:val="28"/>
              <w:widowControl/>
              <w:spacing w:line="340" w:lineRule="exact"/>
              <w:jc w:val="center"/>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项目三</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体验企业物流</w:t>
            </w:r>
          </w:p>
        </w:tc>
        <w:tc>
          <w:tcPr>
            <w:tcW w:w="2986" w:type="dxa"/>
            <w:vAlign w:val="center"/>
          </w:tcPr>
          <w:p>
            <w:pPr>
              <w:pStyle w:val="28"/>
              <w:widowControl/>
              <w:spacing w:line="340" w:lineRule="exact"/>
              <w:jc w:val="lef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教学内容：</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1.制造企业物流的环节；</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2.商业企业物流的环节。</w:t>
            </w:r>
          </w:p>
          <w:p>
            <w:pPr>
              <w:pStyle w:val="28"/>
              <w:widowControl/>
              <w:spacing w:line="340" w:lineRule="exact"/>
              <w:jc w:val="lef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教学要求：</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1.掌握制造企业物流的各环节构成；</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2.掌握商业企业物流的各环节构成。</w:t>
            </w:r>
          </w:p>
        </w:tc>
        <w:tc>
          <w:tcPr>
            <w:tcW w:w="3775" w:type="dxa"/>
            <w:vAlign w:val="center"/>
          </w:tcPr>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1.参观生产企业物流、制造企业物流，培养学生对物流行业的热爱；</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2.多媒体教学资料演示；</w:t>
            </w:r>
          </w:p>
          <w:p>
            <w:pPr>
              <w:pStyle w:val="28"/>
              <w:widowControl/>
              <w:spacing w:line="34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3.案例研讨展示。</w:t>
            </w:r>
          </w:p>
        </w:tc>
        <w:tc>
          <w:tcPr>
            <w:tcW w:w="708"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769"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1083" w:type="dxa"/>
            <w:vAlign w:val="center"/>
          </w:tcPr>
          <w:p>
            <w:pPr>
              <w:pStyle w:val="28"/>
              <w:widowControl/>
              <w:spacing w:line="340" w:lineRule="exact"/>
              <w:jc w:val="center"/>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项目四</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体验</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第三方</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物流企业</w:t>
            </w:r>
          </w:p>
        </w:tc>
        <w:tc>
          <w:tcPr>
            <w:tcW w:w="2986" w:type="dxa"/>
            <w:vAlign w:val="center"/>
          </w:tcPr>
          <w:p>
            <w:pPr>
              <w:pStyle w:val="28"/>
              <w:widowControl/>
              <w:spacing w:line="340" w:lineRule="exact"/>
              <w:jc w:val="lef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教学内容：</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1.第三方物流的概念和意义；</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2.配送中心的运营模式。</w:t>
            </w:r>
          </w:p>
          <w:p>
            <w:pPr>
              <w:pStyle w:val="28"/>
              <w:widowControl/>
              <w:spacing w:line="340" w:lineRule="exact"/>
              <w:jc w:val="lef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教学要求：</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建立第三方物流必要性意识；</w:t>
            </w:r>
          </w:p>
          <w:p>
            <w:pPr>
              <w:pStyle w:val="28"/>
              <w:widowControl/>
              <w:spacing w:line="34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掌握配送中心的运营模式。</w:t>
            </w:r>
          </w:p>
        </w:tc>
        <w:tc>
          <w:tcPr>
            <w:tcW w:w="3775" w:type="dxa"/>
            <w:vAlign w:val="center"/>
          </w:tcPr>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1.多媒体教学资料演示，培养学生精益求精的工匠精神；</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2.案例研讨展示。</w:t>
            </w:r>
          </w:p>
        </w:tc>
        <w:tc>
          <w:tcPr>
            <w:tcW w:w="708"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6" w:hRule="atLeast"/>
          <w:jc w:val="center"/>
        </w:trPr>
        <w:tc>
          <w:tcPr>
            <w:tcW w:w="769"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1083" w:type="dxa"/>
            <w:vAlign w:val="center"/>
          </w:tcPr>
          <w:p>
            <w:pPr>
              <w:pStyle w:val="28"/>
              <w:widowControl/>
              <w:spacing w:line="340" w:lineRule="exact"/>
              <w:jc w:val="center"/>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项目五</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体验</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国际物流</w:t>
            </w:r>
          </w:p>
        </w:tc>
        <w:tc>
          <w:tcPr>
            <w:tcW w:w="2986" w:type="dxa"/>
            <w:vAlign w:val="center"/>
          </w:tcPr>
          <w:p>
            <w:pPr>
              <w:pStyle w:val="28"/>
              <w:widowControl/>
              <w:spacing w:line="340" w:lineRule="exac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教学内容：</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1.国际物流的构成环节；</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2.国际物流运输方式；</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3.国际多式联运。</w:t>
            </w:r>
          </w:p>
          <w:p>
            <w:pPr>
              <w:pStyle w:val="28"/>
              <w:widowControl/>
              <w:spacing w:line="340" w:lineRule="exac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教学要求：</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1.能描述国际物流的各构成环节；</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2.会根据货物属性选择合适的国际物流运输方式；</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3.掌握国际多式联运的衔接。</w:t>
            </w:r>
          </w:p>
        </w:tc>
        <w:tc>
          <w:tcPr>
            <w:tcW w:w="3775" w:type="dxa"/>
            <w:vAlign w:val="center"/>
          </w:tcPr>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1.多媒体教学演示国际物流运作各个环节构成；</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2.案例体验货品与各种运输方式的匹配；</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3.案例体验国际多式联运的衔接。</w:t>
            </w:r>
          </w:p>
        </w:tc>
        <w:tc>
          <w:tcPr>
            <w:tcW w:w="708"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769"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1083" w:type="dxa"/>
            <w:vAlign w:val="center"/>
          </w:tcPr>
          <w:p>
            <w:pPr>
              <w:pStyle w:val="28"/>
              <w:widowControl/>
              <w:spacing w:line="340" w:lineRule="exact"/>
              <w:jc w:val="center"/>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项目六</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物流信息系统初步应用</w:t>
            </w:r>
          </w:p>
        </w:tc>
        <w:tc>
          <w:tcPr>
            <w:tcW w:w="2986" w:type="dxa"/>
            <w:vAlign w:val="center"/>
          </w:tcPr>
          <w:p>
            <w:pPr>
              <w:pStyle w:val="28"/>
              <w:widowControl/>
              <w:spacing w:line="340" w:lineRule="exac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教学内容：</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1.物流信息系统；</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2.物流识别技术的基本工作原理等相关知识；</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3.物流识别设备的操作和应用。</w:t>
            </w:r>
          </w:p>
          <w:p>
            <w:pPr>
              <w:pStyle w:val="28"/>
              <w:widowControl/>
              <w:spacing w:line="340" w:lineRule="exac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教学要求：</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1.能识别物流信息系统；</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2.能描述物流识别技术的基本工作原理；</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3.会操作物流识别设备。</w:t>
            </w:r>
          </w:p>
        </w:tc>
        <w:tc>
          <w:tcPr>
            <w:tcW w:w="3775" w:type="dxa"/>
            <w:vAlign w:val="center"/>
          </w:tcPr>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1.实训室现场教学，认知信息系统软件及相关硬件；</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2.实训室操作演练信息系统及基本硬件使用。</w:t>
            </w:r>
          </w:p>
        </w:tc>
        <w:tc>
          <w:tcPr>
            <w:tcW w:w="708"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Align w:val="center"/>
          </w:tcPr>
          <w:p>
            <w:pPr>
              <w:pStyle w:val="28"/>
              <w:widowControl/>
              <w:spacing w:line="340" w:lineRule="exact"/>
              <w:jc w:val="center"/>
              <w:rPr>
                <w:rFonts w:ascii="仿宋_GB2312" w:hAnsi="仿宋_GB2312" w:eastAsia="仿宋_GB2312" w:cs="仿宋_GB2312"/>
                <w:kern w:val="0"/>
                <w:lang w:bidi="ar"/>
              </w:rPr>
            </w:pPr>
            <w:r>
              <w:rPr>
                <w:rFonts w:hint="eastAsia" w:ascii="仿宋_GB2312" w:hAnsi="仿宋_GB2312" w:eastAsia="仿宋_GB2312" w:cs="仿宋_GB2312"/>
                <w:kern w:val="0"/>
                <w:sz w:val="21"/>
                <w:szCs w:val="21"/>
              </w:rPr>
              <w:t>7</w:t>
            </w:r>
          </w:p>
        </w:tc>
        <w:tc>
          <w:tcPr>
            <w:tcW w:w="1083" w:type="dxa"/>
            <w:vAlign w:val="center"/>
          </w:tcPr>
          <w:p>
            <w:pPr>
              <w:pStyle w:val="28"/>
              <w:widowControl/>
              <w:spacing w:line="340" w:lineRule="exact"/>
              <w:jc w:val="center"/>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项目七</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供应链</w:t>
            </w:r>
          </w:p>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管理</w:t>
            </w:r>
          </w:p>
        </w:tc>
        <w:tc>
          <w:tcPr>
            <w:tcW w:w="2986" w:type="dxa"/>
            <w:vAlign w:val="center"/>
          </w:tcPr>
          <w:p>
            <w:pPr>
              <w:pStyle w:val="28"/>
              <w:widowControl/>
              <w:spacing w:line="340" w:lineRule="exac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教学内容：</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1.供应链管理的基本职能；</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2.供应链管理的基本方法；</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3.供应链结点企业关系绩效评价的方法。</w:t>
            </w:r>
          </w:p>
          <w:p>
            <w:pPr>
              <w:pStyle w:val="28"/>
              <w:widowControl/>
              <w:spacing w:line="340" w:lineRule="exact"/>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教学要求：</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1.能描述供应链管理的职能；</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2.掌握供应链管理的基本方法；</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3.会对供应链结点企业关系进行绩效评价。</w:t>
            </w:r>
          </w:p>
        </w:tc>
        <w:tc>
          <w:tcPr>
            <w:tcW w:w="3775" w:type="dxa"/>
            <w:vAlign w:val="center"/>
          </w:tcPr>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1.识别不同物流活动的工匠精神、创新元素；</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2.教学软件模拟演练；</w:t>
            </w:r>
          </w:p>
          <w:p>
            <w:pPr>
              <w:pStyle w:val="28"/>
              <w:widowControl/>
              <w:spacing w:line="34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3.分角色模拟各节点企业进行供应链管理训练。</w:t>
            </w:r>
          </w:p>
        </w:tc>
        <w:tc>
          <w:tcPr>
            <w:tcW w:w="708" w:type="dxa"/>
            <w:vAlign w:val="center"/>
          </w:tcPr>
          <w:p>
            <w:pPr>
              <w:pStyle w:val="28"/>
              <w:widowControl/>
              <w:spacing w:line="34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r>
    </w:tbl>
    <w:p>
      <w:pPr>
        <w:pStyle w:val="13"/>
        <w:widowControl/>
        <w:autoSpaceDE w:val="0"/>
        <w:adjustRightInd w:val="0"/>
        <w:snapToGrid w:val="0"/>
        <w:spacing w:before="0" w:beforeAutospacing="0" w:after="0" w:afterAutospacing="0"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hint="default" w:ascii="仿宋" w:hAnsi="仿宋" w:eastAsia="仿宋" w:cs="仿宋"/>
          <w:sz w:val="32"/>
          <w:szCs w:val="32"/>
          <w:lang w:val="en-US" w:eastAsia="zh-CN" w:bidi="ar"/>
        </w:rPr>
      </w:pPr>
      <w:r>
        <w:rPr>
          <w:rFonts w:hint="eastAsia" w:ascii="仿宋" w:hAnsi="仿宋" w:eastAsia="仿宋" w:cs="仿宋"/>
          <w:sz w:val="32"/>
          <w:szCs w:val="32"/>
          <w:lang w:bidi="ar"/>
        </w:rPr>
        <w:t>1.</w:t>
      </w:r>
      <w:r>
        <w:rPr>
          <w:rFonts w:hint="eastAsia" w:ascii="仿宋" w:hAnsi="仿宋" w:eastAsia="仿宋" w:cs="仿宋"/>
          <w:sz w:val="32"/>
          <w:szCs w:val="32"/>
          <w:lang w:val="en-US" w:eastAsia="zh-CN" w:bidi="ar"/>
        </w:rPr>
        <w:t>教学方法</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本课程将思想政治教育融入教学，针对不同生源结构，可采用实地参观、案例分析、任务驱动等方法，激发学生的学习兴趣，帮助学生了解物流业的相关知识，培养学生在物流行业工作的职业意识和职业习惯。</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教学中物流行业的认知部分可以组织学生到物流企业实地参观、借助网络进行物流行业信息搜集等形式组织教学；物流各功能要素构成的内容，可以设定工作任务，把学生分成小组，在教师的引导下，学生合作完成工作任务来进行此部分内容的学习；对于企业物流流程、第三方物流、国际物流、供应链管理等部分的内容可以通过多媒体展示、案例分析、播放录像和视频资料、角色分工模拟情境等形式组织教学。</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2.学生考核评价方法</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本课程根据培养目标和培养要求，考核原则是坚持评价过程、评价方式的多元化。过程性评价中注重对学生搜集、整理、分析物流各活动的资料过程与能力的评价、运用所掌握的物流基本知识分析物流实际业务过程与能力的评价，同时也要对学生在课堂讨论、实地参观、小组合作等活动中所表现的学习态度、合作意识等方面进行评价。</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结果性评价可以采用笔试、案例分析、调查报告等多种方式进行评价。</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3.教学实施与保障</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（1）课堂教学条件：多媒体教室、多媒体教学资料。</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（2）实训条件：参照实训室配备标准进行，建议师生比为1:10。</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4.教材编写与选用</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（1）教材内容尽量做到简练、准确，以企业真实的工作情境作为案例导入，激发学生兴趣；学习单元设计成行动任务，教学内容能动性强。</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（2）教材选用应符合学校应用型人才培养，教材语言表述应生动活泼，栏目丰富多变，体例简洁实用。</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（3）可考虑增加励志故事、国内外知名物流企业介绍等关注学生的情感发展，培养学生对物流行业的兴趣。</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hint="eastAsia" w:ascii="仿宋" w:hAnsi="仿宋" w:eastAsia="仿宋" w:cs="仿宋"/>
          <w:sz w:val="32"/>
          <w:szCs w:val="32"/>
          <w:lang w:bidi="ar"/>
        </w:rPr>
        <w:t>（4）优先选用国家规划教材、精品教材、重点推荐教材以及体现产学研合作教育成果等的优质教材，优先选用近三年正规出版、列入教材目录的新编教材。</w:t>
      </w:r>
    </w:p>
    <w:p>
      <w:pPr>
        <w:pStyle w:val="13"/>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sz w:val="32"/>
          <w:szCs w:val="32"/>
          <w:lang w:bidi="ar"/>
        </w:rPr>
      </w:pPr>
      <w:r>
        <w:rPr>
          <w:rFonts w:ascii="仿宋" w:hAnsi="仿宋" w:eastAsia="仿宋" w:cs="仿宋"/>
          <w:sz w:val="32"/>
          <w:szCs w:val="32"/>
          <w:lang w:bidi="ar"/>
        </w:rPr>
        <w:t>5.</w:t>
      </w:r>
      <w:r>
        <w:rPr>
          <w:rFonts w:hint="eastAsia" w:ascii="仿宋" w:hAnsi="仿宋" w:eastAsia="仿宋" w:cs="仿宋"/>
          <w:sz w:val="32"/>
          <w:szCs w:val="32"/>
          <w:lang w:bidi="ar"/>
        </w:rPr>
        <w:t>授课进程建议表</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959"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69"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6"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物流的内涵以及发展历程</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物流系统以及行业的构成</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物流活动、作业环节的基本流程</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物流的设施设备</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制造企业物流的环节</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商业企业物流的环节</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第三方物流的概念和意义</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配送中心的运营模式</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国际物流的构成环节</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国际物流运输方式</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国际多式联运</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物流信息系统</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物流识别技术基本工作原理等相关知识</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物流识别设备的操作和应用</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供应链管理的基本职能</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供应链管理的基本方法</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供应链结点企业关系绩效评价方法</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期末复习</w:t>
            </w:r>
          </w:p>
        </w:tc>
        <w:tc>
          <w:tcPr>
            <w:tcW w:w="1276"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360"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bl>
    <w:p>
      <w:pPr>
        <w:autoSpaceDE w:val="0"/>
        <w:adjustRightInd w:val="0"/>
        <w:snapToGrid w:val="0"/>
        <w:spacing w:line="580" w:lineRule="exact"/>
        <w:textAlignment w:val="baseline"/>
        <w:rPr>
          <w:rFonts w:ascii="仿宋_GB2312" w:hAnsi="仿宋_GB2312" w:eastAsia="仿宋_GB2312" w:cs="仿宋_GB2312"/>
          <w:sz w:val="32"/>
          <w:szCs w:val="32"/>
          <w:lang w:bidi="ar"/>
        </w:rPr>
      </w:pPr>
    </w:p>
    <w:p>
      <w:pPr>
        <w:autoSpaceDE w:val="0"/>
        <w:adjustRightInd w:val="0"/>
        <w:snapToGrid w:val="0"/>
        <w:textAlignment w:val="baseline"/>
        <w:rPr>
          <w:rFonts w:ascii="方正小标宋简体" w:hAnsi="方正小标宋简体" w:eastAsia="方正小标宋简体" w:cs="方正小标宋简体"/>
          <w:kern w:val="0"/>
          <w:sz w:val="36"/>
          <w:szCs w:val="36"/>
          <w:shd w:val="clear" w:color="auto" w:fill="FFFFFF"/>
          <w:lang w:bidi="ar"/>
        </w:rPr>
      </w:pPr>
    </w:p>
    <w:p>
      <w:pPr>
        <w:widowControl/>
        <w:jc w:val="left"/>
        <w:rPr>
          <w:rFonts w:ascii="方正小标宋简体" w:hAnsi="方正小标宋简体" w:eastAsia="方正小标宋简体" w:cs="方正小标宋简体"/>
          <w:kern w:val="0"/>
          <w:sz w:val="36"/>
          <w:szCs w:val="36"/>
          <w:shd w:val="clear" w:color="auto" w:fill="FFFFFF"/>
          <w:lang w:bidi="ar"/>
        </w:rPr>
      </w:pPr>
      <w:r>
        <w:rPr>
          <w:rFonts w:ascii="方正小标宋简体" w:hAnsi="方正小标宋简体" w:eastAsia="方正小标宋简体" w:cs="方正小标宋简体"/>
          <w:kern w:val="0"/>
          <w:sz w:val="36"/>
          <w:szCs w:val="36"/>
          <w:shd w:val="clear" w:color="auto" w:fill="FFFFFF"/>
          <w:lang w:bidi="ar"/>
        </w:rPr>
        <w:br w:type="page"/>
      </w:r>
    </w:p>
    <w:p>
      <w:pPr>
        <w:snapToGrid w:val="0"/>
        <w:spacing w:after="120" w:afterLines="50" w:line="56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供应链基础课程标准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w:t>
      </w:r>
      <w:r>
        <w:rPr>
          <w:rFonts w:hint="eastAsia" w:ascii="楷体" w:hAnsi="楷体" w:eastAsia="楷体" w:cs="楷体"/>
          <w:sz w:val="32"/>
          <w:szCs w:val="32"/>
          <w:lang w:val="en-US" w:eastAsia="zh-CN" w:bidi="ar"/>
        </w:rPr>
        <w:t>课</w:t>
      </w:r>
      <w:r>
        <w:rPr>
          <w:rFonts w:hint="eastAsia" w:ascii="楷体" w:hAnsi="楷体" w:eastAsia="楷体" w:cs="楷体"/>
          <w:sz w:val="32"/>
          <w:szCs w:val="32"/>
          <w:lang w:bidi="ar"/>
        </w:rPr>
        <w:t>程性质与任务</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sz w:val="32"/>
          <w:szCs w:val="32"/>
          <w:lang w:bidi="ar"/>
        </w:rPr>
        <w:t>本课程</w:t>
      </w:r>
      <w:r>
        <w:rPr>
          <w:rFonts w:hint="eastAsia" w:ascii="仿宋" w:hAnsi="仿宋" w:eastAsia="仿宋" w:cs="仿宋"/>
          <w:kern w:val="0"/>
          <w:sz w:val="32"/>
          <w:szCs w:val="32"/>
          <w:lang w:bidi="ar"/>
        </w:rPr>
        <w:t>是物流服务与管理专业的一门专业</w:t>
      </w:r>
      <w:r>
        <w:rPr>
          <w:rFonts w:hint="eastAsia" w:ascii="仿宋" w:hAnsi="仿宋" w:eastAsia="仿宋" w:cs="仿宋"/>
          <w:sz w:val="32"/>
          <w:szCs w:val="32"/>
          <w:lang w:bidi="ar"/>
        </w:rPr>
        <w:t>基础课程。通过学</w:t>
      </w:r>
      <w:r>
        <w:rPr>
          <w:rFonts w:hint="eastAsia" w:ascii="仿宋" w:hAnsi="仿宋" w:eastAsia="仿宋" w:cs="仿宋"/>
          <w:kern w:val="0"/>
          <w:sz w:val="32"/>
          <w:szCs w:val="32"/>
          <w:lang w:bidi="ar"/>
        </w:rPr>
        <w:t>习供应链运营的阻碍因素和驱动因素、供应链管理信息技术等专业知识，使学生能够掌握供应链上下游企业合作关系的构建和管理方法；具有供应链运营技能的能力，能熟练掌握运营方法和运营工具，培养学生的职业道德和工匠精神，提高学生综合素质和职业能力，为学生后续其他专业课程的学习打下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（1）掌握供应链的基本概念、结构、特征和类型等基本知识；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（2）掌握供应链运营的基本原则、主要内容和重要策略；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（3）掌握物流上下游合作伙伴关系的形成及其制约因素，掌握供应链合作伙伴的选择、供应商关系管理与客户关系管理等内容；</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（4）掌握业务流程重组的概念和相关理论，对企业业务流程重组（再造）的原因、过程有明确的认识，掌握供应链运营环境下企业业务流程重组的主要特征和方法；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（5）掌握供应链运营与管理过程中的信息流、信息系统及信息技术的应用；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（6）掌握供应链绩效评价的概念、特点和原则，理解供应链绩效评价的指标体系。</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（1）能够依据供应链运营的基本理论，进行供应链运营的战略匹配；</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（2）能够运用供应链模型的知识完成特定商品的供应链模型；</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（3）能够根据供应链上已有企业的特点和产品特征及其合作要求，会运用供应链合作伙伴的选择方法与步骤，选择物流上下游合作伙伴；</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（4）能够掌握快速反应（QR）、有效客户反应（ECR）、基于活动的成本控制（ABC）、价值链分析（VCA）这四种常见的供应链管理方法，并能够在物流管理过程中运用；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（5）能够根据供应链绩效评价结果，运用供应链激励方法，对供应链进行激励。</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54学时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 课程学分</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tbl>
      <w:tblPr>
        <w:tblStyle w:val="15"/>
        <w:tblW w:w="9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77"/>
        <w:gridCol w:w="3691"/>
        <w:gridCol w:w="2551"/>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7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序号</w:t>
            </w:r>
          </w:p>
        </w:tc>
        <w:tc>
          <w:tcPr>
            <w:tcW w:w="1277"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3691"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2551"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1061"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项目一</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概述</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1.了解供应链的含义、特点与目标；</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理解供应链的类型及供应链的结构模型；</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掌握消费品供应链与生产品供应链的异同分析。</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1.学会</w:t>
            </w:r>
            <w:r>
              <w:rPr>
                <w:rFonts w:hint="eastAsia" w:ascii="仿宋_GB2312" w:hAnsi="Calibri" w:eastAsia="仿宋_GB2312" w:cs="Times New Roman"/>
                <w:sz w:val="21"/>
                <w:szCs w:val="21"/>
              </w:rPr>
              <w:t>供应链的类型及供应链的结构模型</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2.说出</w:t>
            </w:r>
            <w:r>
              <w:rPr>
                <w:rFonts w:hint="eastAsia" w:ascii="仿宋_GB2312" w:hAnsi="Calibri" w:eastAsia="仿宋_GB2312" w:cs="Times New Roman"/>
                <w:sz w:val="21"/>
                <w:szCs w:val="21"/>
              </w:rPr>
              <w:t>消费品供应链与生产品供应链的异同分析</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3.了解供应链的含义、特点与目标。</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1.利用多媒体课件、教学视频、图片展示进行基础理论的学习；</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采用案例教学法来对比消费品供应链和生产品供应链的异同</w:t>
            </w:r>
            <w:r>
              <w:rPr>
                <w:rFonts w:hint="eastAsia" w:ascii="仿宋_GB2312" w:hAnsi="仿宋_GB2312" w:eastAsia="仿宋_GB2312" w:cs="仿宋_GB2312"/>
                <w:kern w:val="0"/>
                <w:sz w:val="21"/>
                <w:szCs w:val="21"/>
                <w:lang w:bidi="ar"/>
              </w:rPr>
              <w:t>；</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融入供应链典型案例，培养对供应链学习的热情与兴趣</w:t>
            </w:r>
            <w:r>
              <w:rPr>
                <w:rFonts w:hint="eastAsia" w:ascii="仿宋_GB2312" w:hAnsi="仿宋_GB2312" w:eastAsia="仿宋_GB2312" w:cs="仿宋_GB2312"/>
                <w:kern w:val="0"/>
                <w:sz w:val="21"/>
                <w:szCs w:val="21"/>
                <w:lang w:bidi="ar"/>
              </w:rPr>
              <w:t>。</w:t>
            </w:r>
          </w:p>
        </w:tc>
        <w:tc>
          <w:tcPr>
            <w:tcW w:w="106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项目二</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管理概述</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1.了解供应链管理的产生；</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2.理解供应链管理的概念与作用；</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3.掌握供应链管理的主要内容与目标；</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4.</w:t>
            </w:r>
            <w:r>
              <w:rPr>
                <w:rFonts w:hint="eastAsia" w:ascii="仿宋_GB2312" w:hAnsi="Calibri" w:eastAsia="仿宋_GB2312" w:cs="Times New Roman"/>
                <w:sz w:val="21"/>
                <w:szCs w:val="21"/>
              </w:rPr>
              <w:t>掌握供应链管理的缺陷（涟漪效果、牛鞭效应）。</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1.掌握</w:t>
            </w:r>
            <w:r>
              <w:rPr>
                <w:rFonts w:hint="eastAsia" w:ascii="仿宋_GB2312" w:hAnsi="Calibri" w:eastAsia="仿宋_GB2312" w:cs="Times New Roman"/>
                <w:sz w:val="21"/>
                <w:szCs w:val="21"/>
              </w:rPr>
              <w:t>供应链管理的缺陷和</w:t>
            </w:r>
            <w:r>
              <w:rPr>
                <w:rFonts w:hint="eastAsia" w:ascii="仿宋_GB2312" w:hAnsi="仿宋_GB2312" w:eastAsia="仿宋_GB2312" w:cs="仿宋_GB2312"/>
                <w:kern w:val="0"/>
                <w:sz w:val="21"/>
                <w:szCs w:val="21"/>
                <w:lang w:bidi="ar"/>
              </w:rPr>
              <w:t>供应链管理的主要内容与目标；</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2.熟悉供应链管理的产生；</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3.了解供应链管理的产生。</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利用多媒体课件、图片视频展示、讲解，进行理论的学习；</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.通过分组模拟，加强知识的理解；</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利用讨论法和讲授法的结合来加深涟漪效果、牛鞭效应的理解</w:t>
            </w:r>
            <w:r>
              <w:rPr>
                <w:rFonts w:hint="eastAsia" w:ascii="仿宋_GB2312" w:hAnsi="仿宋_GB2312" w:eastAsia="仿宋_GB2312" w:cs="仿宋_GB2312"/>
                <w:kern w:val="0"/>
                <w:sz w:val="21"/>
                <w:szCs w:val="21"/>
                <w:lang w:bidi="ar"/>
              </w:rPr>
              <w:t>。</w:t>
            </w:r>
          </w:p>
        </w:tc>
        <w:tc>
          <w:tcPr>
            <w:tcW w:w="106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项目三</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设计基础</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理解供应链设计的概念、内容、原则；</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了解预评估的概念；</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熟悉竞争战略及供应链战略。</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1.能够熟悉</w:t>
            </w:r>
            <w:r>
              <w:rPr>
                <w:rFonts w:hint="eastAsia" w:ascii="仿宋_GB2312" w:hAnsi="Calibri" w:eastAsia="仿宋_GB2312" w:cs="Times New Roman"/>
                <w:sz w:val="21"/>
                <w:szCs w:val="21"/>
              </w:rPr>
              <w:t>竞争战略及供应链战略</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供应链设计的概念、内容、原则。</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利用多媒体课件、视频、图片进行专业知识的学习；</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.通过分组模拟、查询讨论的方式加强巩固知识的理解；</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引入典型企业案例，培养学生创新思维</w:t>
            </w:r>
            <w:r>
              <w:rPr>
                <w:rFonts w:hint="eastAsia" w:ascii="仿宋_GB2312" w:hAnsi="仿宋_GB2312" w:eastAsia="仿宋_GB2312" w:cs="仿宋_GB2312"/>
                <w:kern w:val="0"/>
                <w:sz w:val="21"/>
                <w:szCs w:val="21"/>
                <w:lang w:bidi="ar"/>
              </w:rPr>
              <w:t>。</w:t>
            </w:r>
          </w:p>
        </w:tc>
        <w:tc>
          <w:tcPr>
            <w:tcW w:w="106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项目四</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设计策略</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了解基于生产类型的供应链设计策略、模式、步骤；</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理解基于产品的供应链设计策略、模式与步骤；</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掌握基于核心企业的供应链设计策略、模式与步骤。</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1.能够掌握</w:t>
            </w:r>
            <w:r>
              <w:rPr>
                <w:rFonts w:hint="eastAsia" w:ascii="仿宋_GB2312" w:hAnsi="Calibri" w:eastAsia="仿宋_GB2312" w:cs="Times New Roman"/>
                <w:sz w:val="21"/>
                <w:szCs w:val="21"/>
              </w:rPr>
              <w:t>基于核心企业的供应链设计策略、模式与步骤</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2.对</w:t>
            </w:r>
            <w:r>
              <w:rPr>
                <w:rFonts w:hint="eastAsia" w:ascii="仿宋_GB2312" w:hAnsi="Calibri" w:eastAsia="仿宋_GB2312" w:cs="Times New Roman"/>
                <w:sz w:val="21"/>
                <w:szCs w:val="21"/>
              </w:rPr>
              <w:t>生产类型的供应链设计策略、模式、步骤有一定的了解。</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通过多媒体课件、数字化资源等信息化手段，进行知识的学习；</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.通过案例分析或到生产企业实地参观，更好地理解生产类型的供应链的设计策略；</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利用任务驱动的学习方法引导学生独立思考。</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5</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项目五</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运营的</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阻碍因素及驱动因素</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了解供应链运营阻碍因素；</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理解供应链运营结构框架；</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理解供应链运营的驱动因素等。</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1.学会</w:t>
            </w:r>
            <w:r>
              <w:rPr>
                <w:rFonts w:hint="eastAsia" w:ascii="仿宋_GB2312" w:hAnsi="Calibri" w:eastAsia="仿宋_GB2312" w:cs="Times New Roman"/>
                <w:sz w:val="21"/>
                <w:szCs w:val="21"/>
              </w:rPr>
              <w:t>供应链运营结构框架</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2.认识</w:t>
            </w:r>
            <w:r>
              <w:rPr>
                <w:rFonts w:hint="eastAsia" w:ascii="仿宋_GB2312" w:hAnsi="Calibri" w:eastAsia="仿宋_GB2312" w:cs="Times New Roman"/>
                <w:sz w:val="21"/>
                <w:szCs w:val="21"/>
              </w:rPr>
              <w:t>供应链运营阻碍因素</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3.说出</w:t>
            </w:r>
            <w:r>
              <w:rPr>
                <w:rFonts w:hint="eastAsia" w:ascii="仿宋_GB2312" w:hAnsi="Calibri" w:eastAsia="仿宋_GB2312" w:cs="Times New Roman"/>
                <w:sz w:val="21"/>
                <w:szCs w:val="21"/>
              </w:rPr>
              <w:t>供应链运营驱动因素</w:t>
            </w:r>
            <w:r>
              <w:rPr>
                <w:rFonts w:hint="eastAsia" w:ascii="仿宋_GB2312" w:hAnsi="仿宋_GB2312" w:eastAsia="仿宋_GB2312" w:cs="仿宋_GB2312"/>
                <w:kern w:val="0"/>
                <w:sz w:val="21"/>
                <w:szCs w:val="21"/>
                <w:lang w:bidi="ar"/>
              </w:rPr>
              <w:t>。</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通过教材、多媒体课件进行基础理论的学习；</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.利用直观演示法来学习供应链运用的结构框架；</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以小组解决问题，培养学生团队协作的能力。</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6</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项目六</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合作伙伴关系概述</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了解供应链合作关系；</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了解供应链战略合作伙伴关系的产生；</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理解供应链合作关系与传统供应商关系的区别；</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4.</w:t>
            </w:r>
            <w:r>
              <w:rPr>
                <w:rFonts w:hint="eastAsia" w:ascii="仿宋_GB2312" w:hAnsi="Calibri" w:eastAsia="仿宋_GB2312" w:cs="Times New Roman"/>
                <w:sz w:val="21"/>
                <w:szCs w:val="21"/>
              </w:rPr>
              <w:t>熟悉供应链合作伙伴关系的意义和目的。</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1.能识别</w:t>
            </w:r>
            <w:r>
              <w:rPr>
                <w:rFonts w:hint="eastAsia" w:ascii="仿宋_GB2312" w:hAnsi="Calibri" w:eastAsia="仿宋_GB2312" w:cs="Times New Roman"/>
                <w:sz w:val="21"/>
                <w:szCs w:val="21"/>
              </w:rPr>
              <w:t>供应链合作关系以及供应链战略合作伙伴关系的产生</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2.说出</w:t>
            </w:r>
            <w:r>
              <w:rPr>
                <w:rFonts w:hint="eastAsia" w:ascii="仿宋_GB2312" w:hAnsi="Calibri" w:eastAsia="仿宋_GB2312" w:cs="Times New Roman"/>
                <w:sz w:val="21"/>
                <w:szCs w:val="21"/>
              </w:rPr>
              <w:t>供应链合作伙伴关系的意义和目的</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3.掌握</w:t>
            </w:r>
            <w:r>
              <w:rPr>
                <w:rFonts w:hint="eastAsia" w:ascii="仿宋_GB2312" w:hAnsi="Calibri" w:eastAsia="仿宋_GB2312" w:cs="Times New Roman"/>
                <w:sz w:val="21"/>
                <w:szCs w:val="21"/>
              </w:rPr>
              <w:t>供应链合作伙伴关系的意义和目的</w:t>
            </w:r>
            <w:r>
              <w:rPr>
                <w:rFonts w:hint="eastAsia" w:ascii="仿宋_GB2312" w:hAnsi="仿宋_GB2312" w:eastAsia="仿宋_GB2312" w:cs="仿宋_GB2312"/>
                <w:kern w:val="0"/>
                <w:sz w:val="21"/>
                <w:szCs w:val="21"/>
                <w:lang w:bidi="ar"/>
              </w:rPr>
              <w:t>。</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hint="eastAsia" w:ascii="仿宋_GB2312" w:hAnsi="仿宋_GB2312" w:eastAsia="仿宋_GB2312" w:cs="仿宋_GB2312"/>
                <w:kern w:val="0"/>
                <w:sz w:val="21"/>
                <w:szCs w:val="21"/>
                <w:lang w:bidi="ar"/>
              </w:rPr>
            </w:pPr>
          </w:p>
          <w:p>
            <w:pPr>
              <w:pStyle w:val="13"/>
              <w:autoSpaceDE w:val="0"/>
              <w:autoSpaceDN w:val="0"/>
              <w:adjustRightInd w:val="0"/>
              <w:snapToGrid w:val="0"/>
              <w:spacing w:before="0" w:beforeAutospacing="0" w:after="0" w:afterAutospacing="0" w:line="360" w:lineRule="exact"/>
              <w:textAlignment w:val="baseline"/>
              <w:rPr>
                <w:rFonts w:hint="eastAsia" w:ascii="仿宋_GB2312" w:hAnsi="仿宋_GB2312" w:eastAsia="仿宋_GB2312" w:cs="仿宋_GB2312"/>
                <w:kern w:val="0"/>
                <w:sz w:val="21"/>
                <w:szCs w:val="21"/>
                <w:lang w:bidi="ar"/>
              </w:rPr>
            </w:pP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利用多媒体课件和教学案例进行专业知识的学习；</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.通过分组模拟、比较，归纳总结供应链合作关系与传统供应商关系的区别。</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7</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项目七</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合作伙伴关系的建立与选择</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理解建立供应链合作伙伴关系的基础、模式与步骤；</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掌握供应链合作伙伴的类型及供应链合作伙伴选择的常用方法；</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熟悉合作伙伴综合评价指标体系；</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4.</w:t>
            </w:r>
            <w:r>
              <w:rPr>
                <w:rFonts w:hint="eastAsia" w:ascii="仿宋_GB2312" w:hAnsi="Calibri" w:eastAsia="仿宋_GB2312" w:cs="Times New Roman"/>
                <w:sz w:val="21"/>
                <w:szCs w:val="21"/>
              </w:rPr>
              <w:t>了解供应链中协作的制约因素及有效协作的方法。</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1.认识</w:t>
            </w:r>
            <w:r>
              <w:rPr>
                <w:rFonts w:hint="eastAsia" w:ascii="仿宋_GB2312" w:hAnsi="Calibri" w:eastAsia="仿宋_GB2312" w:cs="Times New Roman"/>
                <w:sz w:val="21"/>
                <w:szCs w:val="21"/>
              </w:rPr>
              <w:t>合作伙伴综合评价指标体系</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2.说出</w:t>
            </w:r>
            <w:r>
              <w:rPr>
                <w:rFonts w:hint="eastAsia" w:ascii="仿宋_GB2312" w:hAnsi="Calibri" w:eastAsia="仿宋_GB2312" w:cs="Times New Roman"/>
                <w:sz w:val="21"/>
                <w:szCs w:val="21"/>
              </w:rPr>
              <w:t>供应链合作伙伴的类型及供应链合作伙伴选择的常用方法</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3.了解</w:t>
            </w:r>
            <w:r>
              <w:rPr>
                <w:rFonts w:hint="eastAsia" w:ascii="仿宋_GB2312" w:hAnsi="Calibri" w:eastAsia="仿宋_GB2312" w:cs="Times New Roman"/>
                <w:sz w:val="21"/>
                <w:szCs w:val="21"/>
              </w:rPr>
              <w:t>供应链中协作的制约因素及有效协作的方法；</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4.掌握供应链合作伙伴的类型的常用方法。</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利用多媒体课件、教材、教学视频进行知识的学习；</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.通过问题探究法激励学生思考问题。</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8</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项目八</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采购管理</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了解传统管理下的采购模式特点；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理解供应链管理下的采购管理的特点；</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掌握供应商管理的目标与战略；</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4.</w:t>
            </w:r>
            <w:r>
              <w:rPr>
                <w:rFonts w:hint="eastAsia" w:ascii="仿宋_GB2312" w:hAnsi="Calibri" w:eastAsia="仿宋_GB2312" w:cs="Times New Roman"/>
                <w:sz w:val="21"/>
                <w:szCs w:val="21"/>
              </w:rPr>
              <w:t>理解供应商关系的分类；双赢供应关系的管理；</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5.了解供应商的评估与选择。</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1.认识</w:t>
            </w:r>
            <w:r>
              <w:rPr>
                <w:rFonts w:hint="eastAsia" w:ascii="仿宋_GB2312" w:hAnsi="Calibri" w:eastAsia="仿宋_GB2312" w:cs="Times New Roman"/>
                <w:sz w:val="21"/>
                <w:szCs w:val="21"/>
              </w:rPr>
              <w:t>传统管理下的采购模式特点和供应商的评估与选择</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2.说出</w:t>
            </w:r>
            <w:r>
              <w:rPr>
                <w:rFonts w:hint="eastAsia" w:ascii="仿宋_GB2312" w:hAnsi="Calibri" w:eastAsia="仿宋_GB2312" w:cs="Times New Roman"/>
                <w:sz w:val="21"/>
                <w:szCs w:val="21"/>
              </w:rPr>
              <w:t>供应商管理的目标与战略</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3.理解</w:t>
            </w:r>
            <w:r>
              <w:rPr>
                <w:rFonts w:hint="eastAsia" w:ascii="仿宋_GB2312" w:hAnsi="Calibri" w:eastAsia="仿宋_GB2312" w:cs="Times New Roman"/>
                <w:sz w:val="21"/>
                <w:szCs w:val="21"/>
              </w:rPr>
              <w:t>供应商关系的分类；双赢供应关系的管理和供应链管理下的特点</w:t>
            </w:r>
            <w:r>
              <w:rPr>
                <w:rFonts w:hint="eastAsia" w:ascii="仿宋_GB2312" w:hAnsi="仿宋_GB2312" w:eastAsia="仿宋_GB2312" w:cs="仿宋_GB2312"/>
                <w:kern w:val="0"/>
                <w:sz w:val="21"/>
                <w:szCs w:val="21"/>
                <w:lang w:bidi="ar"/>
              </w:rPr>
              <w:t>。</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利用多媒体教学、教学视频、图片进行知识的学习；</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.利用案例教学法介绍采购的特点；</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3.通过分组模拟的方式，加深知识的理解。</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9</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项目九</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生产管理</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了解供应链生产计划与控制的概念、特点、核心问题传统生产计划与供应链生产计划的差异；</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理解供应链协调控制机制；</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理解供应链生产计划协调机制；</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4.</w:t>
            </w:r>
            <w:r>
              <w:rPr>
                <w:rFonts w:hint="eastAsia" w:ascii="仿宋_GB2312" w:hAnsi="Calibri" w:eastAsia="仿宋_GB2312" w:cs="Times New Roman"/>
                <w:sz w:val="21"/>
                <w:szCs w:val="21"/>
              </w:rPr>
              <w:t>理解供应链生产进度控制。</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理解供应链协调控制机制、供应链生产计划协调机制和供应链生产进度控制</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 xml:space="preserve"> 供应链生产计划与控制的概念、特点、核心问题传统生产计划与供应链生产计划的差异。</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利用多媒体课件、图片、教学视频等资源进行专业基础的学习；</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.利用案例分析法充分理解知识。</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10</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项目十</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物流管理</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理解物流与供应链管理的关系；</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理解供应链管理与物流管理的区别；</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掌握供应链管理环境下物流管理的新特点等。</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掌握并能够熟练运用供应链管理环境下物流管理的新特点等；</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2.能够说出</w:t>
            </w:r>
            <w:r>
              <w:rPr>
                <w:rFonts w:hint="eastAsia" w:ascii="仿宋_GB2312" w:hAnsi="Calibri" w:eastAsia="仿宋_GB2312" w:cs="Times New Roman"/>
                <w:sz w:val="21"/>
                <w:szCs w:val="21"/>
              </w:rPr>
              <w:t>物流与供应链管理的关系和供应链管理与物流管理的区别。</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利用案例教学法学习专业知识；</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.通过分组模拟、图片视频展示，重点理解供应链管理与物流管理的区别。</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11</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项目十一</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信息技术</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管理</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了解供应链信息技术的概念、特点；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掌握信息技术对供应链管理的作用；</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掌握条形码技术；</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1.学会</w:t>
            </w:r>
            <w:r>
              <w:rPr>
                <w:rFonts w:hint="eastAsia" w:ascii="仿宋_GB2312" w:hAnsi="Calibri" w:eastAsia="仿宋_GB2312" w:cs="Times New Roman"/>
                <w:sz w:val="21"/>
                <w:szCs w:val="21"/>
              </w:rPr>
              <w:t>条形码技术以及信息技术对供应链管理的作用</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了解供应链信息技术的概念、特点。</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通过参观相关企业，实地了解企业采用的供应链技术；</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.通过在实训室直观演示，讲解；分组模拟，培养学生规范性操作。</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12</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项目十二</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管理策略</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掌握快速反应QR策略；</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掌握有效客户相应策略（ECR策略）；</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理解联合计划、预测和补货系统（CPFR策略）。</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1.认识</w:t>
            </w:r>
            <w:r>
              <w:rPr>
                <w:rFonts w:hint="eastAsia" w:ascii="仿宋_GB2312" w:hAnsi="Calibri" w:eastAsia="仿宋_GB2312" w:cs="Times New Roman"/>
                <w:sz w:val="21"/>
                <w:szCs w:val="21"/>
              </w:rPr>
              <w:t>联合计划、预测和补货系统（CPFR策略）</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2.能够学会</w:t>
            </w:r>
            <w:r>
              <w:rPr>
                <w:rFonts w:hint="eastAsia" w:ascii="仿宋_GB2312" w:hAnsi="Calibri" w:eastAsia="仿宋_GB2312" w:cs="Times New Roman"/>
                <w:sz w:val="21"/>
                <w:szCs w:val="21"/>
              </w:rPr>
              <w:t>有效客户相应策略（ECR策略）；</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掌握快速反应QR策略。</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利用多媒体教学、教学视频、图片进行知识的学习；</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.利用案例分析法充分理解知识。</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13</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项目十三</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绩效评价</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概述</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了解供应链绩效；</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理解供应链绩效评价；</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理解供应链绩效评价的内容、原则；</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4.理解内部绩效衡量；</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5.理解外部绩效衡量；</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6.了解供应链综合绩效衡量。</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1.能学会</w:t>
            </w:r>
            <w:r>
              <w:rPr>
                <w:rFonts w:hint="eastAsia" w:ascii="仿宋_GB2312" w:hAnsi="Calibri" w:eastAsia="仿宋_GB2312" w:cs="Times New Roman"/>
                <w:sz w:val="21"/>
                <w:szCs w:val="21"/>
              </w:rPr>
              <w:t>内、外部绩效衡量</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能够理解供应链绩效评价的内容、原则</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3.了解</w:t>
            </w:r>
            <w:r>
              <w:rPr>
                <w:rFonts w:hint="eastAsia" w:ascii="仿宋_GB2312" w:hAnsi="Calibri" w:eastAsia="仿宋_GB2312" w:cs="Times New Roman"/>
                <w:sz w:val="21"/>
                <w:szCs w:val="21"/>
              </w:rPr>
              <w:t>供应链综合绩效衡量</w:t>
            </w:r>
            <w:r>
              <w:rPr>
                <w:rFonts w:hint="eastAsia" w:ascii="仿宋_GB2312" w:hAnsi="仿宋_GB2312" w:eastAsia="仿宋_GB2312" w:cs="仿宋_GB2312"/>
                <w:kern w:val="0"/>
                <w:sz w:val="21"/>
                <w:szCs w:val="21"/>
                <w:lang w:bidi="ar"/>
              </w:rPr>
              <w:t>。</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利用案例分析法，讨论的学习方法引导学生独立思考问题的能力；</w:t>
            </w:r>
          </w:p>
          <w:p>
            <w:pPr>
              <w:pStyle w:val="13"/>
              <w:autoSpaceDE w:val="0"/>
              <w:autoSpaceDN w:val="0"/>
              <w:adjustRightInd w:val="0"/>
              <w:snapToGrid w:val="0"/>
              <w:spacing w:before="0" w:beforeAutospacing="0" w:after="0" w:afterAutospacing="0" w:line="38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.采用分组模拟，互相探讨的形式，归纳总结；</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3.引导学生勤于反思，提高学生精益求精的精神。</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14</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项目十四</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供应链绩效评价指标</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体系与评价方法</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了解供应链绩效评价指标体系；</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掌握标杆法；</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理解供应链绩效报告的设计与编制；</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4.了解供应链激励机制。</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1.能够说出</w:t>
            </w:r>
            <w:r>
              <w:rPr>
                <w:rFonts w:hint="eastAsia" w:ascii="仿宋_GB2312" w:hAnsi="Calibri" w:eastAsia="仿宋_GB2312" w:cs="Times New Roman"/>
                <w:sz w:val="21"/>
                <w:szCs w:val="21"/>
              </w:rPr>
              <w:t>标杆法</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理解供应链绩效报告的设计与编制</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3.学会</w:t>
            </w:r>
            <w:r>
              <w:rPr>
                <w:rFonts w:hint="eastAsia" w:ascii="仿宋_GB2312" w:hAnsi="Calibri" w:eastAsia="仿宋_GB2312" w:cs="Times New Roman"/>
                <w:sz w:val="21"/>
                <w:szCs w:val="21"/>
              </w:rPr>
              <w:t>供应链激励机制。</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利用多媒体教学、教学视频、图片进行知识的学习；</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.利用讲授法对标杆法进行详细讲解；</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3.通过分组模拟，讨论摸索供应链绩效报告的设计。</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15</w:t>
            </w:r>
          </w:p>
        </w:tc>
        <w:tc>
          <w:tcPr>
            <w:tcW w:w="127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项目十五</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供应链的</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Calibri" w:eastAsia="仿宋_GB2312" w:cs="Times New Roman"/>
                <w:sz w:val="21"/>
                <w:szCs w:val="21"/>
              </w:rPr>
            </w:pPr>
            <w:r>
              <w:rPr>
                <w:rFonts w:hint="eastAsia" w:ascii="仿宋_GB2312" w:hAnsi="Calibri" w:eastAsia="仿宋_GB2312" w:cs="Times New Roman"/>
                <w:sz w:val="21"/>
                <w:szCs w:val="21"/>
              </w:rPr>
              <w:t>业务流程</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再造与组织结构</w:t>
            </w:r>
          </w:p>
        </w:tc>
        <w:tc>
          <w:tcPr>
            <w:tcW w:w="3691"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理解供应链业务流程重组；</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理解流程业务重组的类型；</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w:t>
            </w:r>
            <w:r>
              <w:rPr>
                <w:rFonts w:hint="eastAsia" w:ascii="仿宋_GB2312" w:hAnsi="Calibri" w:eastAsia="仿宋_GB2312" w:cs="Times New Roman"/>
                <w:sz w:val="21"/>
                <w:szCs w:val="21"/>
              </w:rPr>
              <w:t>掌握基于BPR的供应链企业组织结构的内容等。</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1.能</w:t>
            </w:r>
            <w:r>
              <w:rPr>
                <w:rFonts w:hint="eastAsia" w:ascii="仿宋_GB2312" w:hAnsi="Calibri" w:eastAsia="仿宋_GB2312" w:cs="Times New Roman"/>
                <w:sz w:val="21"/>
                <w:szCs w:val="21"/>
              </w:rPr>
              <w:t>理解供应链业务流程重组；</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2.说出</w:t>
            </w:r>
            <w:r>
              <w:rPr>
                <w:rFonts w:hint="eastAsia" w:ascii="仿宋_GB2312" w:hAnsi="Calibri" w:eastAsia="仿宋_GB2312" w:cs="Times New Roman"/>
                <w:sz w:val="21"/>
                <w:szCs w:val="21"/>
              </w:rPr>
              <w:t>基于BPR的供应链企业组织结构的内容等</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3.了解流程业务重组的类型。</w:t>
            </w:r>
          </w:p>
        </w:tc>
        <w:tc>
          <w:tcPr>
            <w:tcW w:w="2551"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Calibri" w:eastAsia="仿宋_GB2312" w:cs="Times New Roman"/>
                <w:sz w:val="21"/>
                <w:szCs w:val="21"/>
              </w:rPr>
              <w:t>利用多媒体教学、教学视频、图片进行知识的学习；</w:t>
            </w:r>
          </w:p>
          <w:p>
            <w:pPr>
              <w:pStyle w:val="13"/>
              <w:autoSpaceDE w:val="0"/>
              <w:autoSpaceDN w:val="0"/>
              <w:adjustRightInd w:val="0"/>
              <w:snapToGrid w:val="0"/>
              <w:spacing w:before="0" w:beforeAutospacing="0" w:after="0" w:afterAutospacing="0" w:line="360" w:lineRule="exact"/>
              <w:textAlignment w:val="baseline"/>
              <w:rPr>
                <w:rFonts w:ascii="仿宋_GB2312" w:hAnsi="Calibri" w:eastAsia="仿宋_GB2312" w:cs="Times New Roman"/>
                <w:sz w:val="21"/>
                <w:szCs w:val="21"/>
              </w:rPr>
            </w:pPr>
            <w:r>
              <w:rPr>
                <w:rFonts w:hint="eastAsia" w:ascii="仿宋_GB2312" w:hAnsi="仿宋_GB2312" w:eastAsia="仿宋_GB2312" w:cs="仿宋_GB2312"/>
                <w:kern w:val="0"/>
                <w:sz w:val="21"/>
                <w:szCs w:val="21"/>
                <w:lang w:bidi="ar"/>
              </w:rPr>
              <w:t>2</w:t>
            </w:r>
            <w:r>
              <w:rPr>
                <w:rFonts w:hint="eastAsia" w:ascii="仿宋_GB2312" w:hAnsi="Calibri" w:eastAsia="仿宋_GB2312" w:cs="Times New Roman"/>
                <w:sz w:val="21"/>
                <w:szCs w:val="21"/>
              </w:rPr>
              <w:t>.利用案例教学法对供应链业务流程进行讲解；</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Calibri" w:eastAsia="仿宋_GB2312" w:cs="Times New Roman"/>
                <w:sz w:val="21"/>
                <w:szCs w:val="21"/>
              </w:rPr>
              <w:t>3.通过引导学生整合资源，培养学生创业素养。</w:t>
            </w:r>
          </w:p>
        </w:tc>
        <w:tc>
          <w:tcPr>
            <w:tcW w:w="1061"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bl>
    <w:p>
      <w:pPr>
        <w:widowControl/>
        <w:autoSpaceDE w:val="0"/>
        <w:adjustRightInd w:val="0"/>
        <w:snapToGrid w:val="0"/>
        <w:spacing w:line="560" w:lineRule="atLeas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过程中依据不同情况灵活运用各种教学方法。本课程的每项工作任务都涉及多个工作岗位，建议采用角色扮演法实施教学;本课程与实践零距离，适合采用情境教学法;基于本课程属于信息应用系统，适合采用实训作业法。</w:t>
      </w:r>
    </w:p>
    <w:p>
      <w:pPr>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不同类型的项目采用相应的主要教学方法。知识型项目主要采用启发引导法、讨论法、案例法、讲授法、归纳法;技能型项目主要采用项目导向法、任务驱动法、实物展示法、角色扮演法;软件操作型项目主要采用创设情境法、角色扮演法、讨论法、归纳法。</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在教学过程中，应立足于加强学生实际操作能力的培养，采用项目教学，以工作任务引领提高学生学习兴趣，激发学生的成就动机。课程教学的关键是模拟情况教学，在教学过程中，教师示范和学生分组讨论、训练互动，学生提问与教师解答、指导有机结合，让学生在“教”与“学”过程中，会进行物流信息系统的构建。</w:t>
      </w:r>
    </w:p>
    <w:p>
      <w:pPr>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加强实践性教学环节和手段，提高学生对本专业的兴趣和动手能力；利用多媒体教学、案例教学手段，不断补充最新物流与供应链运营的相关理论知识，增加课内信息量和教学互动，提高教学效果；针对专业技术特点要求，尽量安排一定时间的社会实践锻炼，以融会贯通理论知识，掌握物流与供应链管理运营的过程及方法，以利于培养整合创新能力；开设综合性实验课程和课程设计，培养学生的创新能力；积极支持和资助学生课外学术活动、学生技能大赛、创新创业大赛等。</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（4）采用观察、提问、测试、专业比赛、实操、实习、职业资格评定等多元评价等综合评价方式。</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（5）注重实践与理论相结合，有以考核专业能力为主的工作任务考核，有以测试认知水平的理论知识考核，总体采取了三种考核方式：平时表现考核占20%；任务完成情况考核占30%；试卷考核占50%。</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（1）课堂教学条件</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具备信息化手段开展混合式教学的条件。配备黑（白）板、多媒体教室、供应链虚拟仿真、数字化教学资源、无线网络环境，并具有网络安全防护措施。</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（2）实习实训条件</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供应链虚拟仿真实训能开展供应链网络设计优化、供应链库存设计优化、供应链运营实战等训练，通过在实训中能够了解供应链运营系统的基本业务场景，掌握每个角色的岗位职责，设计合适的供应链优化方案，可以为未来供应链运营打好基础。</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企业实习基地应提供供应链运营、ERP软件等相关实习岗位，按照师生比1：10以内配备相应数量的指导教师，对实习学生进行指导和管理，并具有完善的企业导师管理制度以及绩效考核办法。能为实习生活、工作、学习提供安全卫生的基本设施，具有完善的实习生管理规章制度，为实习生提供保险保障。</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（1）教师教学一般依据专业教学标准的相关课程要求、课程标准、教材来组织教学内容。教材原则上需从国家和省市发布的省级以上规划教材目录中选用。</w:t>
      </w:r>
    </w:p>
    <w:p>
      <w:pPr>
        <w:snapToGrid w:val="0"/>
        <w:spacing w:line="560" w:lineRule="atLeas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（2）所用教材的编写需深度贯彻习近平新时代中国特色社会主义，弘扬社会主义核心价值观，积极落实二十大精神，及时引进行业企业最新新理念、新技术、新设备、新模式等。</w:t>
      </w:r>
    </w:p>
    <w:p>
      <w:pPr>
        <w:snapToGrid w:val="0"/>
        <w:spacing w:line="560" w:lineRule="atLeast"/>
        <w:ind w:firstLine="64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sz w:val="32"/>
          <w:szCs w:val="32"/>
          <w:lang w:bidi="ar"/>
        </w:rPr>
        <w:t>（3）教材形式应图文并茂，尽量多采用图片、流程图等，语言生动，版式活泼，符合中职学生的学习特点。</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为激发学生的学习兴趣，应创设形象生动的教学情境，尽可能采用现代化教学手段，鼓励学校通过购买、检索、校企合作或者自主研发多媒体课件、音视频、图谱、实物教具、试题库、竞赛方案、电子教案等数字化教学资源。</w:t>
      </w:r>
    </w:p>
    <w:p>
      <w:pPr>
        <w:autoSpaceDE w:val="0"/>
        <w:adjustRightInd w:val="0"/>
        <w:snapToGrid w:val="0"/>
        <w:spacing w:line="560" w:lineRule="atLeas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959"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69"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6"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供应链的含义、特点与目标</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供应链的类型及供应链的结构模型</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供应链管理的主要内容与目标</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供应链设计的概念、内容、原则</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供应链运营的结构框架</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供应链运营的驱动因素</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供应链合作伙伴的类型</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合作伙伴综合评价指标体系</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供应链生产计划的差异</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传统管理下的采购模式特点</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供应商管理的目标与战略</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供应链生产计划协调机制</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物流与供应链管理的关系</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供应链管理与物流管理的区别</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供应链信息技术的概念、特点</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快速反应策略（QR策略）</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供应链绩效评价的内容、原则</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供应链业务流程重组</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bl>
    <w:p>
      <w:pPr>
        <w:snapToGrid w:val="0"/>
        <w:spacing w:before="120" w:beforeLines="50" w:after="120" w:afterLines="50" w:line="580" w:lineRule="exact"/>
        <w:jc w:val="center"/>
        <w:rPr>
          <w:rFonts w:ascii="方正小标宋简体" w:hAnsi="方正小标宋简体" w:eastAsia="方正小标宋简体" w:cs="方正小标宋简体"/>
          <w:sz w:val="32"/>
          <w:szCs w:val="32"/>
        </w:rPr>
      </w:pPr>
    </w:p>
    <w:p>
      <w:pPr>
        <w:widowControl/>
        <w:jc w:val="left"/>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after="120" w:afterLines="50" w:line="580" w:lineRule="exact"/>
        <w:jc w:val="center"/>
        <w:rPr>
          <w:rFonts w:ascii="方正小标宋_GBK" w:hAnsi="宋体" w:eastAsia="方正小标宋_GBK"/>
          <w:sz w:val="32"/>
          <w:szCs w:val="32"/>
        </w:rPr>
      </w:pPr>
      <w:r>
        <w:rPr>
          <w:rFonts w:ascii="方正小标宋简体" w:hAnsi="方正小标宋简体" w:eastAsia="方正小标宋简体" w:cs="方正小标宋简体"/>
          <w:sz w:val="32"/>
          <w:szCs w:val="32"/>
        </w:rPr>
        <w:t>物流法律法规</w:t>
      </w:r>
      <w:r>
        <w:rPr>
          <w:rFonts w:hint="eastAsia" w:ascii="方正小标宋简体" w:hAnsi="方正小标宋简体" w:eastAsia="方正小标宋简体" w:cs="方正小标宋简体"/>
          <w:sz w:val="32"/>
          <w:szCs w:val="32"/>
        </w:rPr>
        <w:t>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 课程性质与任务</w:t>
      </w:r>
    </w:p>
    <w:p>
      <w:pPr>
        <w:pStyle w:val="13"/>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本课程是物流服务与管理专业的一门专业基础课程。通过学习专业法律理论、制度与实务等专业知识，使学生能够掌握《</w:t>
      </w:r>
      <w:r>
        <w:rPr>
          <w:rFonts w:ascii="仿宋_GB2312" w:hAnsi="仿宋_GB2312" w:eastAsia="仿宋_GB2312" w:cs="仿宋_GB2312"/>
          <w:sz w:val="32"/>
          <w:szCs w:val="32"/>
          <w:lang w:bidi="ar"/>
        </w:rPr>
        <w:t>物流法</w:t>
      </w:r>
      <w:r>
        <w:rPr>
          <w:rFonts w:hint="eastAsia" w:ascii="仿宋_GB2312" w:hAnsi="仿宋_GB2312" w:eastAsia="仿宋_GB2312" w:cs="仿宋_GB2312"/>
          <w:sz w:val="32"/>
          <w:szCs w:val="32"/>
          <w:lang w:bidi="ar"/>
        </w:rPr>
        <w:t>》的有关内容、专业法律理论、制度与实务、</w:t>
      </w:r>
      <w:r>
        <w:rPr>
          <w:rFonts w:ascii="仿宋_GB2312" w:hAnsi="仿宋_GB2312" w:eastAsia="仿宋_GB2312" w:cs="仿宋_GB2312"/>
          <w:sz w:val="32"/>
          <w:szCs w:val="32"/>
          <w:lang w:bidi="ar"/>
        </w:rPr>
        <w:t>国际货运代理</w:t>
      </w:r>
      <w:r>
        <w:rPr>
          <w:rFonts w:hint="eastAsia" w:ascii="仿宋_GB2312" w:hAnsi="仿宋_GB2312" w:eastAsia="仿宋_GB2312" w:cs="仿宋_GB2312"/>
          <w:sz w:val="32"/>
          <w:szCs w:val="32"/>
          <w:lang w:bidi="ar"/>
        </w:rPr>
        <w:t>法律法规、</w:t>
      </w:r>
      <w:r>
        <w:rPr>
          <w:rFonts w:ascii="仿宋_GB2312" w:hAnsi="仿宋_GB2312" w:eastAsia="仿宋_GB2312" w:cs="仿宋_GB2312"/>
          <w:sz w:val="32"/>
          <w:szCs w:val="32"/>
          <w:lang w:bidi="ar"/>
        </w:rPr>
        <w:t>物资采购</w:t>
      </w:r>
      <w:r>
        <w:rPr>
          <w:rFonts w:hint="eastAsia" w:ascii="仿宋_GB2312" w:hAnsi="仿宋_GB2312" w:eastAsia="仿宋_GB2312" w:cs="仿宋_GB2312"/>
          <w:sz w:val="32"/>
          <w:szCs w:val="32"/>
          <w:lang w:bidi="ar"/>
        </w:rPr>
        <w:t>；具有</w:t>
      </w:r>
      <w:r>
        <w:rPr>
          <w:rFonts w:ascii="仿宋_GB2312" w:hAnsi="仿宋_GB2312" w:eastAsia="仿宋_GB2312" w:cs="仿宋_GB2312"/>
          <w:sz w:val="32"/>
          <w:szCs w:val="32"/>
          <w:lang w:bidi="ar"/>
        </w:rPr>
        <w:t>语言表达能力、逻辑思维能力、创新能力作为</w:t>
      </w:r>
      <w:r>
        <w:rPr>
          <w:rFonts w:hint="eastAsia" w:ascii="仿宋_GB2312" w:hAnsi="仿宋_GB2312" w:eastAsia="仿宋_GB2312" w:cs="仿宋_GB2312"/>
          <w:sz w:val="32"/>
          <w:szCs w:val="32"/>
          <w:lang w:bidi="ar"/>
        </w:rPr>
        <w:t>素质</w:t>
      </w:r>
      <w:r>
        <w:rPr>
          <w:rFonts w:ascii="仿宋_GB2312" w:hAnsi="仿宋_GB2312" w:eastAsia="仿宋_GB2312" w:cs="仿宋_GB2312"/>
          <w:sz w:val="32"/>
          <w:szCs w:val="32"/>
          <w:lang w:bidi="ar"/>
        </w:rPr>
        <w:t>教育的途径</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学生分析</w:t>
      </w:r>
      <w:r>
        <w:rPr>
          <w:rFonts w:hint="eastAsia" w:ascii="仿宋_GB2312" w:hAnsi="仿宋_GB2312" w:eastAsia="仿宋_GB2312" w:cs="仿宋_GB2312"/>
          <w:sz w:val="32"/>
          <w:szCs w:val="32"/>
          <w:lang w:bidi="ar"/>
        </w:rPr>
        <w:t>问题</w:t>
      </w:r>
      <w:r>
        <w:rPr>
          <w:rFonts w:ascii="仿宋_GB2312" w:hAnsi="仿宋_GB2312" w:eastAsia="仿宋_GB2312" w:cs="仿宋_GB2312"/>
          <w:sz w:val="32"/>
          <w:szCs w:val="32"/>
          <w:lang w:bidi="ar"/>
        </w:rPr>
        <w:t>、解决问题及创造性思维能力</w:t>
      </w:r>
      <w:r>
        <w:rPr>
          <w:rFonts w:hint="eastAsia" w:ascii="仿宋_GB2312" w:hAnsi="仿宋_GB2312" w:eastAsia="仿宋_GB2312" w:cs="仿宋_GB2312"/>
          <w:sz w:val="32"/>
          <w:szCs w:val="32"/>
          <w:lang w:bidi="ar"/>
        </w:rPr>
        <w:t>，培养学生的职业道德和工匠精神，提高学生综合素质和职业能力，为学生后续其他专业课程的学习打下基础。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（1）具有使学生掌握一定的物流法律知识；</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（2）具有了解与物流管理专业相关的法律原则、规范；</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（3）具有重点学会在实践中运用所学法律知识来处理问题；</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（4）具有进一步提高分析问题、解决问题的方法和能力。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（1）熟悉我国物流市场经济就是法治经济，牢固树立依法治国的理念；</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（2）掌握中国特色市场经济的法治基础和信用基础，了解中国特色社会主义的历史必然性；</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（3）掌握物流法基础理论以及相关的经济法制度，培养学生的法治精神和诚信理念；</w:t>
      </w:r>
    </w:p>
    <w:p>
      <w:pPr>
        <w:pStyle w:val="13"/>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4</w:t>
      </w:r>
      <w:r>
        <w:rPr>
          <w:rFonts w:hint="eastAsia" w:ascii="仿宋_GB2312" w:hAnsi="仿宋_GB2312" w:eastAsia="仿宋_GB2312" w:cs="仿宋_GB2312"/>
          <w:kern w:val="0"/>
          <w:sz w:val="32"/>
          <w:szCs w:val="32"/>
          <w:lang w:bidi="ar"/>
        </w:rPr>
        <w:t>）掌握物流市场主体法律制度，积极维护国家、集体和第三人合法利益。</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（1）能够使学生掌握物流市场交易法律制度；</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（2）能够了解涉及与物流过程相关的国内外法律规范；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（3）能够对物流过程的各个环节讲述与其相关的法律、法规和国际公约、国际惯例，使学生掌握一定的物流法律知识；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（4）能够了解与专业相关的法律原则、规范，学会在实践中运用法律知识来处理问题；</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（5）能够进一步培养专业法律的理念与思维，掌握物流法的实质，获得运用物流法的理念和思维去分析、解释、解决实践中所遇到的具体现象及问题的能力；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（6）能够了解我国物流市场经济的现状，树立依法治国的理念，掌握相应的物流法律规范；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（7）能够独立运用</w:t>
      </w:r>
      <w:r>
        <w:rPr>
          <w:rFonts w:ascii="仿宋_GB2312" w:hAnsi="仿宋_GB2312" w:eastAsia="仿宋_GB2312" w:cs="仿宋_GB2312"/>
          <w:sz w:val="32"/>
          <w:szCs w:val="32"/>
          <w:lang w:bidi="ar"/>
        </w:rPr>
        <w:t>物流法相关知识的系统理解能力</w:t>
      </w:r>
      <w:r>
        <w:rPr>
          <w:rFonts w:hint="eastAsia" w:ascii="仿宋_GB2312" w:hAnsi="仿宋_GB2312" w:eastAsia="仿宋_GB2312" w:cs="仿宋_GB2312"/>
          <w:sz w:val="32"/>
          <w:szCs w:val="32"/>
          <w:lang w:bidi="ar"/>
        </w:rPr>
        <w:t>。</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 参考学时</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ascii="仿宋_GB2312" w:hAnsi="仿宋_GB2312" w:eastAsia="仿宋_GB2312" w:cs="仿宋_GB2312"/>
          <w:sz w:val="32"/>
          <w:szCs w:val="32"/>
          <w:lang w:bidi="ar"/>
        </w:rPr>
        <w:t>36</w:t>
      </w:r>
      <w:r>
        <w:rPr>
          <w:rFonts w:hint="eastAsia" w:ascii="仿宋_GB2312" w:hAnsi="仿宋_GB2312" w:eastAsia="仿宋_GB2312" w:cs="仿宋_GB2312"/>
          <w:sz w:val="32"/>
          <w:szCs w:val="32"/>
          <w:lang w:bidi="ar"/>
        </w:rPr>
        <w:t>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 课程学分</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ascii="仿宋_GB2312" w:hAnsi="仿宋_GB2312" w:eastAsia="仿宋_GB2312" w:cs="仿宋_GB2312"/>
          <w:sz w:val="32"/>
          <w:szCs w:val="32"/>
          <w:lang w:bidi="ar"/>
        </w:rPr>
        <w:t>2</w:t>
      </w:r>
      <w:r>
        <w:rPr>
          <w:rFonts w:hint="eastAsia" w:ascii="仿宋_GB2312" w:hAnsi="仿宋_GB2312" w:eastAsia="仿宋_GB2312" w:cs="仿宋_GB2312"/>
          <w:sz w:val="32"/>
          <w:szCs w:val="32"/>
          <w:lang w:bidi="ar"/>
        </w:rPr>
        <w:t>学分</w:t>
      </w:r>
    </w:p>
    <w:p>
      <w:pPr>
        <w:widowControl/>
        <w:autoSpaceDE w:val="0"/>
        <w:adjustRightInd w:val="0"/>
        <w:snapToGrid w:val="0"/>
        <w:spacing w:line="560" w:lineRule="exact"/>
        <w:ind w:firstLine="640" w:firstLineChars="200"/>
        <w:jc w:val="left"/>
        <w:textAlignment w:val="baseline"/>
        <w:rPr>
          <w:rFonts w:ascii="楷体_GB2312" w:hAnsi="仿宋_GB2312" w:eastAsia="楷体_GB2312" w:cs="楷体_GB2312"/>
          <w:sz w:val="32"/>
          <w:szCs w:val="32"/>
          <w:lang w:bidi="ar"/>
        </w:rPr>
      </w:pPr>
    </w:p>
    <w:p>
      <w:pPr>
        <w:widowControl/>
        <w:autoSpaceDE w:val="0"/>
        <w:adjustRightInd w:val="0"/>
        <w:snapToGrid w:val="0"/>
        <w:spacing w:line="560" w:lineRule="exact"/>
        <w:ind w:firstLine="640" w:firstLineChars="200"/>
        <w:jc w:val="left"/>
        <w:textAlignment w:val="baseline"/>
        <w:rPr>
          <w:rFonts w:ascii="楷体_GB2312" w:hAnsi="仿宋_GB2312" w:eastAsia="楷体_GB2312" w:cs="楷体_GB2312"/>
          <w:sz w:val="32"/>
          <w:szCs w:val="32"/>
          <w:lang w:bidi="ar"/>
        </w:rPr>
      </w:pPr>
    </w:p>
    <w:p>
      <w:pPr>
        <w:widowControl/>
        <w:autoSpaceDE w:val="0"/>
        <w:adjustRightInd w:val="0"/>
        <w:snapToGrid w:val="0"/>
        <w:spacing w:line="560" w:lineRule="exact"/>
        <w:ind w:firstLine="640" w:firstLineChars="200"/>
        <w:jc w:val="left"/>
        <w:textAlignment w:val="baseline"/>
        <w:rPr>
          <w:rFonts w:ascii="楷体_GB2312" w:hAnsi="仿宋_GB2312" w:eastAsia="楷体_GB2312" w:cs="楷体_GB2312"/>
          <w:sz w:val="32"/>
          <w:szCs w:val="32"/>
          <w:lang w:bidi="ar"/>
        </w:rPr>
      </w:pP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tbl>
      <w:tblPr>
        <w:tblStyle w:val="15"/>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206"/>
        <w:gridCol w:w="3298"/>
        <w:gridCol w:w="2833"/>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8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1206"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3298"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2833"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1067"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2"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项目一</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snapToGrid w:val="0"/>
                <w:color w:val="000000"/>
                <w:kern w:val="0"/>
                <w:sz w:val="21"/>
                <w:szCs w:val="21"/>
              </w:rPr>
              <w:t>物流法律制度概述</w:t>
            </w:r>
          </w:p>
        </w:tc>
        <w:tc>
          <w:tcPr>
            <w:tcW w:w="3298"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hint="eastAsia" w:ascii="仿宋_GB2312" w:hAnsi="仿宋_GB2312" w:eastAsia="仿宋_GB2312" w:cs="仿宋_GB2312"/>
                <w:snapToGrid w:val="0"/>
                <w:color w:val="000000"/>
                <w:kern w:val="0"/>
                <w:sz w:val="21"/>
                <w:szCs w:val="21"/>
              </w:rPr>
              <w:t>掌握与物流相关的法律规范的渊源</w:t>
            </w:r>
            <w:r>
              <w:rPr>
                <w:rFonts w:hint="eastAsia" w:ascii="仿宋_GB2312" w:hAnsi="仿宋_GB2312" w:eastAsia="仿宋_GB2312" w:cs="仿宋_GB2312"/>
                <w:kern w:val="0"/>
                <w:sz w:val="21"/>
                <w:szCs w:val="21"/>
                <w:lang w:bidi="ar"/>
              </w:rPr>
              <w:t>；</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snapToGrid w:val="0"/>
                <w:color w:val="000000"/>
                <w:kern w:val="0"/>
                <w:sz w:val="21"/>
                <w:szCs w:val="21"/>
              </w:rPr>
            </w:pPr>
            <w:r>
              <w:rPr>
                <w:rFonts w:hint="eastAsia" w:ascii="仿宋_GB2312" w:hAnsi="仿宋_GB2312" w:eastAsia="仿宋_GB2312" w:cs="仿宋_GB2312"/>
                <w:kern w:val="0"/>
                <w:sz w:val="21"/>
                <w:szCs w:val="21"/>
                <w:lang w:bidi="ar"/>
              </w:rPr>
              <w:t>2.</w:t>
            </w:r>
            <w:r>
              <w:rPr>
                <w:rFonts w:hint="eastAsia" w:ascii="仿宋_GB2312" w:hAnsi="仿宋_GB2312" w:eastAsia="仿宋_GB2312" w:cs="仿宋_GB2312"/>
                <w:snapToGrid w:val="0"/>
                <w:color w:val="000000"/>
                <w:kern w:val="0"/>
                <w:sz w:val="21"/>
                <w:szCs w:val="21"/>
              </w:rPr>
              <w:t>掌握物流法律规范的内容及物流法的现状与问题；</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w:t>
            </w:r>
            <w:r>
              <w:rPr>
                <w:rFonts w:ascii="仿宋_GB2312" w:hAnsi="仿宋_GB2312" w:eastAsia="仿宋_GB2312" w:cs="仿宋_GB2312"/>
                <w:snapToGrid w:val="0"/>
                <w:color w:val="000000"/>
                <w:kern w:val="0"/>
                <w:sz w:val="21"/>
                <w:szCs w:val="21"/>
              </w:rPr>
              <w:t>.</w:t>
            </w:r>
            <w:r>
              <w:rPr>
                <w:rFonts w:hint="eastAsia" w:ascii="仿宋_GB2312" w:hAnsi="仿宋_GB2312" w:eastAsia="仿宋_GB2312" w:cs="仿宋_GB2312"/>
                <w:snapToGrid w:val="0"/>
                <w:color w:val="000000"/>
                <w:kern w:val="0"/>
                <w:sz w:val="21"/>
                <w:szCs w:val="21"/>
              </w:rPr>
              <w:t>掌握物流法律关系的三要素和物流服务合同的相关内容。</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w:t>
            </w:r>
            <w:r>
              <w:rPr>
                <w:rFonts w:hint="eastAsia" w:ascii="仿宋_GB2312" w:hAnsi="仿宋_GB2312" w:eastAsia="仿宋_GB2312" w:cs="仿宋_GB2312"/>
                <w:snapToGrid w:val="0"/>
                <w:color w:val="000000"/>
                <w:kern w:val="0"/>
                <w:sz w:val="21"/>
                <w:szCs w:val="21"/>
              </w:rPr>
              <w:t>通过理论结合实际案例讲解法治和法制的区别，引入最新理论成果；</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snapToGrid w:val="0"/>
                <w:color w:val="000000"/>
                <w:kern w:val="0"/>
                <w:sz w:val="21"/>
                <w:szCs w:val="21"/>
              </w:rPr>
            </w:pPr>
            <w:r>
              <w:rPr>
                <w:rFonts w:hint="eastAsia" w:ascii="仿宋_GB2312" w:hAnsi="仿宋_GB2312" w:eastAsia="仿宋_GB2312" w:cs="仿宋_GB2312"/>
                <w:kern w:val="0"/>
                <w:sz w:val="21"/>
                <w:szCs w:val="21"/>
                <w:lang w:bidi="ar"/>
              </w:rPr>
              <w:t>2.学会</w:t>
            </w:r>
            <w:r>
              <w:rPr>
                <w:rFonts w:hint="eastAsia" w:ascii="仿宋_GB2312" w:hAnsi="仿宋_GB2312" w:eastAsia="仿宋_GB2312" w:cs="仿宋_GB2312"/>
                <w:snapToGrid w:val="0"/>
                <w:color w:val="000000"/>
                <w:kern w:val="0"/>
                <w:sz w:val="21"/>
                <w:szCs w:val="21"/>
              </w:rPr>
              <w:t>把党的领导、科学理论、法治道路、市场经济作为重点内容，教育学生树立社会主义核心价值观。</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snapToGrid w:val="0"/>
                <w:color w:val="000000"/>
                <w:kern w:val="0"/>
                <w:sz w:val="21"/>
                <w:szCs w:val="21"/>
              </w:rPr>
            </w:pPr>
            <w:r>
              <w:rPr>
                <w:rFonts w:hint="eastAsia" w:ascii="仿宋_GB2312" w:hAnsi="仿宋_GB2312" w:eastAsia="仿宋_GB2312" w:cs="仿宋_GB2312"/>
                <w:kern w:val="0"/>
                <w:sz w:val="21"/>
                <w:szCs w:val="21"/>
                <w:lang w:bidi="ar"/>
              </w:rPr>
              <w:t>1.</w:t>
            </w:r>
            <w:r>
              <w:rPr>
                <w:rFonts w:hint="eastAsia" w:ascii="仿宋_GB2312" w:hAnsi="仿宋_GB2312" w:eastAsia="仿宋_GB2312" w:cs="仿宋_GB2312"/>
                <w:snapToGrid w:val="0"/>
                <w:color w:val="000000"/>
                <w:kern w:val="0"/>
                <w:sz w:val="21"/>
                <w:szCs w:val="21"/>
              </w:rPr>
              <w:t>任务驱动：案例导入，教师讲解新授内容；</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w:t>
            </w:r>
            <w:r>
              <w:rPr>
                <w:rFonts w:hint="eastAsia" w:ascii="仿宋_GB2312" w:hAnsi="仿宋_GB2312" w:eastAsia="仿宋_GB2312" w:cs="仿宋_GB2312"/>
                <w:snapToGrid w:val="0"/>
                <w:color w:val="000000"/>
                <w:kern w:val="0"/>
                <w:sz w:val="21"/>
                <w:szCs w:val="21"/>
              </w:rPr>
              <w:t>导入思政：市场经济就是法治经济和信用经济，引导学生要遵纪守法，诚实守信。强调法治和人治的区别；引导学生树立规则意识和契约精神；</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3.</w:t>
            </w:r>
            <w:r>
              <w:rPr>
                <w:rFonts w:hint="eastAsia" w:ascii="仿宋_GB2312" w:hAnsi="仿宋_GB2312" w:eastAsia="仿宋_GB2312" w:cs="仿宋_GB2312"/>
                <w:snapToGrid w:val="0"/>
                <w:color w:val="000000"/>
                <w:kern w:val="0"/>
                <w:sz w:val="21"/>
                <w:szCs w:val="21"/>
              </w:rPr>
              <w:t>分组讨论案例，教师讲评。</w:t>
            </w:r>
          </w:p>
        </w:tc>
        <w:tc>
          <w:tcPr>
            <w:tcW w:w="106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项目二</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snapToGrid w:val="0"/>
                <w:color w:val="000000"/>
                <w:kern w:val="0"/>
                <w:sz w:val="21"/>
                <w:szCs w:val="21"/>
              </w:rPr>
              <w:t xml:space="preserve">物流企业法律制度    </w:t>
            </w:r>
          </w:p>
        </w:tc>
        <w:tc>
          <w:tcPr>
            <w:tcW w:w="3298"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掌握物流企业含义和分类；</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掌握物流企业的市场准入制度、设立物流企业应具备的条件；</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掌握物流企业在物流活动中的法律责任。</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1.能够详细讲解基础理论并结合国外立法加以介绍；</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2.</w:t>
            </w:r>
            <w:r>
              <w:rPr>
                <w:rFonts w:hint="eastAsia" w:ascii="仿宋_GB2312" w:hAnsi="仿宋_GB2312" w:eastAsia="仿宋_GB2312" w:cs="仿宋_GB2312"/>
                <w:kern w:val="0"/>
                <w:sz w:val="21"/>
                <w:szCs w:val="21"/>
                <w:lang w:bidi="ar"/>
              </w:rPr>
              <w:t>结合大众创业万众创新等形势引导学生依法创业和就业。</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1.任务驱动：通过理论介绍和视频观看，使同学们对物资采购和货物运输有一定的认识。在对各种运输方式了解的基础上，带领同学们对物流公司的货物运输情况进行考察；</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2.复习提问，教师讲解物流企业法律制度，物流法律关系与物流合同；</w:t>
            </w:r>
          </w:p>
        </w:tc>
        <w:tc>
          <w:tcPr>
            <w:tcW w:w="106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项目三</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微软雅黑" w:hAnsi="微软雅黑" w:eastAsia="微软雅黑"/>
                <w:color w:val="000000"/>
                <w:sz w:val="21"/>
                <w:szCs w:val="21"/>
              </w:rPr>
            </w:pPr>
            <w:r>
              <w:rPr>
                <w:rFonts w:hint="eastAsia" w:ascii="仿宋_GB2312" w:hAnsi="仿宋_GB2312" w:eastAsia="仿宋_GB2312" w:cs="仿宋_GB2312"/>
                <w:snapToGrid w:val="0"/>
                <w:color w:val="000000"/>
                <w:kern w:val="0"/>
                <w:sz w:val="21"/>
                <w:szCs w:val="21"/>
              </w:rPr>
              <w:t>货物运输法律制度</w:t>
            </w:r>
          </w:p>
        </w:tc>
        <w:tc>
          <w:tcPr>
            <w:tcW w:w="3298"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1.掌握海上货物运输法律制度-----《海商法》及相关国际公约的主要内容及有关多式联运法律制度的相关知识；</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2.掌握相关法律基础知识的基础上，运用法律知识解决实际问题。</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了解海上货物运输合同当事人的权利、义务和责任；</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2.</w:t>
            </w:r>
            <w:r>
              <w:rPr>
                <w:rFonts w:hint="eastAsia" w:ascii="仿宋_GB2312" w:hAnsi="仿宋_GB2312" w:eastAsia="仿宋_GB2312" w:cs="仿宋_GB2312"/>
                <w:kern w:val="0"/>
                <w:sz w:val="21"/>
                <w:szCs w:val="21"/>
                <w:lang w:bidi="ar"/>
              </w:rPr>
              <w:t>掌握海上货物运输国际公约；</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熟知多式联运经营人的责任。</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导入思政：课程思政切入点：引导学生能够重合同，守信用，做社会主义法治精神的践行者。中国作为世界经济发展最快的国家之一，迅速投入到国际贸易和国际市场当中，中国在此方面的交易应该树立中国形象，引导其它国家遵守国际法律规则；</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2.复习提问，教师讲解新授内容；</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3.结合实际案例引导学生进行讨论：市场经济就是契约经济和信用经济； 国际贸易、国际运输环境和国际经济发展需要大家的共同努力等。</w:t>
            </w:r>
          </w:p>
        </w:tc>
        <w:tc>
          <w:tcPr>
            <w:tcW w:w="106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项目四</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货物仓储法律制度</w:t>
            </w:r>
          </w:p>
        </w:tc>
        <w:tc>
          <w:tcPr>
            <w:tcW w:w="3298"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1.掌握保管合同当事人义务；</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2.</w:t>
            </w:r>
            <w:r>
              <w:rPr>
                <w:rFonts w:hint="eastAsia" w:ascii="仿宋_GB2312" w:hAnsi="仿宋_GB2312" w:eastAsia="仿宋_GB2312" w:cs="仿宋_GB2312"/>
                <w:kern w:val="0"/>
                <w:sz w:val="21"/>
                <w:szCs w:val="21"/>
                <w:lang w:bidi="ar"/>
              </w:rPr>
              <w:t>掌握仓储合同的法律特征、仓储合同当事人的义务，熟悉仓单的相关内容；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3.</w:t>
            </w:r>
            <w:r>
              <w:rPr>
                <w:rFonts w:hint="eastAsia" w:ascii="仿宋_GB2312" w:hAnsi="仿宋_GB2312" w:eastAsia="仿宋_GB2312" w:cs="仿宋_GB2312"/>
                <w:kern w:val="0"/>
                <w:sz w:val="21"/>
                <w:szCs w:val="21"/>
                <w:lang w:bidi="ar"/>
              </w:rPr>
              <w:t>掌握相关法律基础知识的基础上，运用法律知识解决实际问题。</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详细讲解基础理论并结合实例介绍，对物流经济活动中的违法现象有所了解；</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2.</w:t>
            </w:r>
            <w:r>
              <w:rPr>
                <w:rFonts w:hint="eastAsia" w:ascii="仿宋" w:hAnsi="仿宋" w:eastAsia="仿宋" w:cs="仿宋"/>
                <w:color w:val="000000"/>
                <w:sz w:val="21"/>
                <w:szCs w:val="21"/>
              </w:rPr>
              <w:t xml:space="preserve"> </w:t>
            </w:r>
            <w:r>
              <w:rPr>
                <w:rFonts w:hint="eastAsia" w:ascii="仿宋_GB2312" w:hAnsi="仿宋_GB2312" w:eastAsia="仿宋_GB2312" w:cs="仿宋_GB2312"/>
                <w:kern w:val="0"/>
                <w:sz w:val="21"/>
                <w:szCs w:val="21"/>
                <w:lang w:bidi="ar"/>
              </w:rPr>
              <w:t>引导学生树立诚实守信、公平竞争理念。</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导入思政：通过对仓储主体义务的介绍，加大对仓储违法违约的惩罚，使学生明德守法，明辨是非，知道依法守约的重要性。企业作为市场经济的主体，应遵纪守法，不违背法律法规的强制性义务。引导学生理解“法无禁止即自由”；</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重点知识讲解、拓展；</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3.小组讨论梳理实施步骤，使同学具有合作探究的精神；</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小组分享，教师总结点拨。</w:t>
            </w:r>
          </w:p>
        </w:tc>
        <w:tc>
          <w:tcPr>
            <w:tcW w:w="106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5</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项目五</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snapToGrid w:val="0"/>
                <w:color w:val="000000"/>
                <w:kern w:val="0"/>
                <w:sz w:val="21"/>
                <w:szCs w:val="21"/>
              </w:rPr>
              <w:t>货物搬运装卸法律制度</w:t>
            </w:r>
          </w:p>
        </w:tc>
        <w:tc>
          <w:tcPr>
            <w:tcW w:w="3298"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1.掌握《联合国国际贸易运输港站经营人赔偿责任公约》的内容；</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2.掌握《港口货物作业规则》的主要内容。</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能详细讲解基础理论并结合实例介绍，对物流经济活动中的侵权现象有所了解；</w:t>
            </w:r>
          </w:p>
          <w:p>
            <w:pPr>
              <w:pStyle w:val="13"/>
              <w:widowControl/>
              <w:kinsoku w:val="0"/>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2.</w:t>
            </w:r>
            <w:r>
              <w:rPr>
                <w:rFonts w:hint="eastAsia" w:ascii="仿宋_GB2312" w:hAnsi="仿宋_GB2312" w:eastAsia="仿宋_GB2312" w:cs="仿宋_GB2312"/>
                <w:kern w:val="0"/>
                <w:sz w:val="21"/>
                <w:szCs w:val="21"/>
                <w:lang w:bidi="ar"/>
              </w:rPr>
              <w:t>学会理论联系实际,在掌握相关法律的基础知识的基础上，运用法律知识解决实际问题。</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1.复习提问，教师讲解新授内容；</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2.结合实际案例引导学生进行讨论；</w:t>
            </w:r>
          </w:p>
          <w:p>
            <w:pPr>
              <w:pStyle w:val="13"/>
              <w:autoSpaceDE w:val="0"/>
              <w:autoSpaceDN w:val="0"/>
              <w:adjustRightInd w:val="0"/>
              <w:snapToGrid w:val="0"/>
              <w:spacing w:before="0" w:beforeAutospacing="0" w:after="0" w:afterAutospacing="0" w:line="38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导入思政：通过对搬运装卸主体义务的介绍，加大对搬运装卸过程中侵权的惩罚，使学生明德守法，明辨是非，知道侵权法律制度的重要性。企业作为市场经济的主体，应遵纪守法，不违背法律法规的强制性义务。</w:t>
            </w:r>
          </w:p>
        </w:tc>
        <w:tc>
          <w:tcPr>
            <w:tcW w:w="106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6</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项目六</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snapToGrid w:val="0"/>
                <w:color w:val="000000"/>
                <w:kern w:val="0"/>
                <w:sz w:val="21"/>
                <w:szCs w:val="21"/>
              </w:rPr>
              <w:t>货物包装法律制度</w:t>
            </w:r>
          </w:p>
        </w:tc>
        <w:tc>
          <w:tcPr>
            <w:tcW w:w="3298"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1.掌握普通货物运输包装的基本要求、危险货物运输包装的基本要求；</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2.掌握《国际海运危险货物规则》中对于危险货物包装的基本要求；</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3.掌握相关法律基础知识的基础上，运用法律知识解决实际问题。</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重点掌握危险货物运输包装的基本要求；</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2.</w:t>
            </w:r>
            <w:r>
              <w:rPr>
                <w:rFonts w:hint="eastAsia" w:ascii="仿宋_GB2312" w:hAnsi="仿宋_GB2312" w:eastAsia="仿宋_GB2312" w:cs="仿宋_GB2312"/>
                <w:kern w:val="0"/>
                <w:sz w:val="21"/>
                <w:szCs w:val="21"/>
                <w:lang w:bidi="ar"/>
              </w:rPr>
              <w:t>详细讲解基础理论并结合实例介绍，对物流经济活动中的违约现象有所了解，并引导学生树立诚实守信、公平竞争理念。</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1.复习提问，教师讲解新授内容；</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2.结合实际案例引导学生进行讨论；</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3.导入思政：通过对包装主体义务的介绍，加大对包装过程中违约的惩罚， 使学生明德守法，明辨是非，知道依法守约的重要性。企业作为市场经济的主体，应遵纪守法，不违背法律法规的强制性义务。</w:t>
            </w:r>
          </w:p>
        </w:tc>
        <w:tc>
          <w:tcPr>
            <w:tcW w:w="106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7</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项目七</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snapToGrid w:val="0"/>
                <w:color w:val="000000"/>
                <w:kern w:val="0"/>
                <w:sz w:val="21"/>
                <w:szCs w:val="21"/>
              </w:rPr>
              <w:t>货物流通加工法律制度</w:t>
            </w:r>
          </w:p>
        </w:tc>
        <w:tc>
          <w:tcPr>
            <w:tcW w:w="3298"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2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1.掌握加工承揽合同的主要内容；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2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2.掌握相关法律基础知识的基础上，运用法律知识解决实际问题。</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2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重点掌握加工承揽合同的法律特征；</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2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2.</w:t>
            </w:r>
            <w:r>
              <w:rPr>
                <w:rFonts w:hint="eastAsia" w:ascii="仿宋_GB2312" w:hAnsi="仿宋_GB2312" w:eastAsia="仿宋_GB2312" w:cs="仿宋_GB2312"/>
                <w:kern w:val="0"/>
                <w:sz w:val="21"/>
                <w:szCs w:val="21"/>
                <w:lang w:bidi="ar"/>
              </w:rPr>
              <w:t>加工承揽合同当事人的权利和义务难点：加工承揽合同当事人的权利和义务；</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2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3.</w:t>
            </w:r>
            <w:r>
              <w:rPr>
                <w:rFonts w:hint="eastAsia" w:ascii="仿宋_GB2312" w:hAnsi="仿宋_GB2312" w:eastAsia="仿宋_GB2312" w:cs="仿宋_GB2312"/>
                <w:kern w:val="0"/>
                <w:sz w:val="21"/>
                <w:szCs w:val="21"/>
                <w:lang w:bidi="ar"/>
              </w:rPr>
              <w:t>详细讲解基础理论并结合实例介绍，对物流经济活动中的违约现象有所了解，并引导学生树立诚实守信、公平竞争理念。</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1.复习提问，教师讲解新授内容；</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2.结合实际案例引导学生进行讨论；</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导入思政：通过对货物流通加工主体义务的介绍，加大对货物流通加工过程中违约的惩罚，使学生明德守法，明辨是非，知道依法守约的重要性。企业作为市场经济的主体，应遵纪守法，不违背法律法规的强制性义务。</w:t>
            </w:r>
          </w:p>
        </w:tc>
        <w:tc>
          <w:tcPr>
            <w:tcW w:w="106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8</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项目八</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snapToGrid w:val="0"/>
                <w:color w:val="000000"/>
                <w:kern w:val="0"/>
                <w:sz w:val="21"/>
                <w:szCs w:val="21"/>
              </w:rPr>
              <w:t>货物配送法律制度</w:t>
            </w:r>
          </w:p>
        </w:tc>
        <w:tc>
          <w:tcPr>
            <w:tcW w:w="3298"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1.配送合同的种类；</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2.配送合同当事人的权利义务难点：配送合同当事人的权利义务。</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掌握配送合同的相关内容。在掌握相关法律的基础知识的基础上，运用法律知识解决实际问题；</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2.</w:t>
            </w:r>
            <w:r>
              <w:rPr>
                <w:rFonts w:hint="eastAsia" w:ascii="仿宋_GB2312" w:hAnsi="仿宋_GB2312" w:eastAsia="仿宋_GB2312" w:cs="仿宋_GB2312"/>
                <w:kern w:val="0"/>
                <w:sz w:val="21"/>
                <w:szCs w:val="21"/>
                <w:lang w:bidi="ar"/>
              </w:rPr>
              <w:t>能够详细讲解基础理论并结合实例介绍，对物流经济活动中的违约现象有所了解，并引导学生树立诚实守信、公平竞争理念。</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1.复习提问，教师讲解新授内容；</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2.结合实际案例引导学生进行讨论；</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3</w:t>
            </w:r>
            <w:r>
              <w:rPr>
                <w:rFonts w:hint="eastAsia" w:ascii="仿宋_GB2312" w:hAnsi="仿宋_GB2312" w:eastAsia="仿宋_GB2312" w:cs="仿宋_GB2312"/>
                <w:kern w:val="0"/>
                <w:sz w:val="21"/>
                <w:szCs w:val="21"/>
                <w:lang w:bidi="ar"/>
              </w:rPr>
              <w:t>.导入思政：通过对货物配送主体义务的介绍，加大对货物配送过程中违约的惩罚，使学生明德守法，明辨是非，知道依法守约的重要性。企业作为市场经济的主体，应遵纪守法，不违背法律法规的强制性义务。</w:t>
            </w:r>
          </w:p>
        </w:tc>
        <w:tc>
          <w:tcPr>
            <w:tcW w:w="106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9</w:t>
            </w:r>
          </w:p>
        </w:tc>
        <w:tc>
          <w:tcPr>
            <w:tcW w:w="1206"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hint="eastAsia" w:ascii="仿宋_GB2312" w:hAnsi="仿宋_GB2312" w:eastAsia="仿宋_GB2312" w:cs="仿宋_GB2312"/>
                <w:b/>
                <w:bCs/>
                <w:kern w:val="0"/>
                <w:sz w:val="21"/>
                <w:szCs w:val="21"/>
                <w:lang w:bidi="ar"/>
              </w:rPr>
              <w:t>项目九</w:t>
            </w:r>
          </w:p>
          <w:p>
            <w:pPr>
              <w:pStyle w:val="13"/>
              <w:widowControl/>
              <w:kinsoku w:val="0"/>
              <w:autoSpaceDE w:val="0"/>
              <w:autoSpaceDN w:val="0"/>
              <w:adjustRightInd w:val="0"/>
              <w:snapToGrid w:val="0"/>
              <w:spacing w:before="0" w:beforeAutospacing="0" w:after="0" w:afterAutospacing="0" w:line="360" w:lineRule="exact"/>
              <w:jc w:val="center"/>
              <w:textAlignment w:val="baseline"/>
              <w:rPr>
                <w:rFonts w:ascii="仿宋_GB2312" w:hAnsi="仿宋_GB2312" w:eastAsia="仿宋_GB2312" w:cs="仿宋_GB2312"/>
                <w:b/>
                <w:bCs/>
                <w:kern w:val="0"/>
                <w:sz w:val="21"/>
                <w:szCs w:val="21"/>
                <w:lang w:bidi="ar"/>
              </w:rPr>
            </w:pPr>
            <w:r>
              <w:rPr>
                <w:rFonts w:ascii="仿宋_GB2312" w:hAnsi="仿宋_GB2312" w:eastAsia="仿宋_GB2312" w:cs="仿宋_GB2312"/>
                <w:snapToGrid w:val="0"/>
                <w:color w:val="000000"/>
                <w:kern w:val="0"/>
                <w:sz w:val="21"/>
                <w:szCs w:val="21"/>
              </w:rPr>
              <w:t>物流信息管理法律制度</w:t>
            </w:r>
          </w:p>
        </w:tc>
        <w:tc>
          <w:tcPr>
            <w:tcW w:w="3298"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教学内容：</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1.掌握</w:t>
            </w:r>
            <w:r>
              <w:rPr>
                <w:rFonts w:ascii="仿宋_GB2312" w:hAnsi="仿宋_GB2312" w:eastAsia="仿宋_GB2312" w:cs="仿宋_GB2312"/>
                <w:kern w:val="0"/>
                <w:sz w:val="21"/>
                <w:szCs w:val="21"/>
                <w:lang w:bidi="ar"/>
              </w:rPr>
              <w:t>物流信息管理法律制度概述</w:t>
            </w:r>
            <w:r>
              <w:rPr>
                <w:rFonts w:hint="eastAsia" w:ascii="仿宋_GB2312" w:hAnsi="仿宋_GB2312" w:eastAsia="仿宋_GB2312" w:cs="仿宋_GB2312"/>
                <w:kern w:val="0"/>
                <w:sz w:val="21"/>
                <w:szCs w:val="21"/>
                <w:lang w:bidi="ar"/>
              </w:rPr>
              <w:t>；</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2.熟练掌握</w:t>
            </w:r>
            <w:r>
              <w:rPr>
                <w:rFonts w:ascii="仿宋_GB2312" w:hAnsi="仿宋_GB2312" w:eastAsia="仿宋_GB2312" w:cs="仿宋_GB2312"/>
                <w:kern w:val="0"/>
                <w:sz w:val="21"/>
                <w:szCs w:val="21"/>
                <w:lang w:bidi="ar"/>
              </w:rPr>
              <w:t>物流信息管理法律制度的内容</w:t>
            </w:r>
            <w:r>
              <w:rPr>
                <w:rFonts w:hint="eastAsia" w:ascii="仿宋_GB2312" w:hAnsi="仿宋_GB2312" w:eastAsia="仿宋_GB2312" w:cs="仿宋_GB2312"/>
                <w:kern w:val="0"/>
                <w:sz w:val="21"/>
                <w:szCs w:val="21"/>
                <w:lang w:bidi="ar"/>
              </w:rPr>
              <w:t>；</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掌握</w:t>
            </w:r>
            <w:r>
              <w:rPr>
                <w:rFonts w:ascii="仿宋_GB2312" w:hAnsi="仿宋_GB2312" w:eastAsia="仿宋_GB2312" w:cs="仿宋_GB2312"/>
                <w:kern w:val="0"/>
                <w:sz w:val="21"/>
                <w:szCs w:val="21"/>
                <w:lang w:bidi="ar"/>
              </w:rPr>
              <w:t>电子商务法律制度概述</w:t>
            </w:r>
            <w:r>
              <w:rPr>
                <w:rFonts w:hint="eastAsia" w:ascii="仿宋_GB2312" w:hAnsi="仿宋_GB2312" w:eastAsia="仿宋_GB2312" w:cs="仿宋_GB2312"/>
                <w:kern w:val="0"/>
                <w:sz w:val="21"/>
                <w:szCs w:val="21"/>
                <w:lang w:bidi="ar"/>
              </w:rPr>
              <w:t>；</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掌握</w:t>
            </w:r>
            <w:r>
              <w:rPr>
                <w:rFonts w:ascii="仿宋_GB2312" w:hAnsi="仿宋_GB2312" w:eastAsia="仿宋_GB2312" w:cs="仿宋_GB2312"/>
                <w:kern w:val="0"/>
                <w:sz w:val="21"/>
                <w:szCs w:val="21"/>
                <w:lang w:bidi="ar"/>
              </w:rPr>
              <w:t>电子合同法律制度</w:t>
            </w:r>
            <w:r>
              <w:rPr>
                <w:rFonts w:hint="eastAsia" w:ascii="仿宋_GB2312" w:hAnsi="仿宋_GB2312" w:eastAsia="仿宋_GB2312" w:cs="仿宋_GB2312"/>
                <w:kern w:val="0"/>
                <w:sz w:val="21"/>
                <w:szCs w:val="21"/>
                <w:lang w:bidi="ar"/>
              </w:rPr>
              <w:t>。</w:t>
            </w:r>
          </w:p>
          <w:p>
            <w:pPr>
              <w:pStyle w:val="13"/>
              <w:widowControl/>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bidi="ar"/>
              </w:rPr>
              <w:t>教学要求：</w:t>
            </w:r>
          </w:p>
          <w:p>
            <w:pPr>
              <w:pStyle w:val="13"/>
              <w:widowControl/>
              <w:tabs>
                <w:tab w:val="left" w:pos="312"/>
              </w:tabs>
              <w:kinsoku w:val="0"/>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r>
              <w:rPr>
                <w:rFonts w:ascii="仿宋_GB2312" w:hAnsi="仿宋_GB2312" w:eastAsia="仿宋_GB2312" w:cs="仿宋_GB2312"/>
                <w:kern w:val="0"/>
                <w:sz w:val="21"/>
                <w:szCs w:val="21"/>
                <w:lang w:bidi="ar"/>
              </w:rPr>
              <w:t>.</w:t>
            </w:r>
            <w:r>
              <w:rPr>
                <w:rFonts w:hint="eastAsia" w:ascii="仿宋_GB2312" w:hAnsi="仿宋_GB2312" w:eastAsia="仿宋_GB2312" w:cs="仿宋_GB2312"/>
                <w:kern w:val="0"/>
                <w:sz w:val="21"/>
                <w:szCs w:val="21"/>
                <w:lang w:bidi="ar"/>
              </w:rPr>
              <w:t>掌握</w:t>
            </w:r>
            <w:r>
              <w:rPr>
                <w:rFonts w:ascii="仿宋_GB2312" w:hAnsi="仿宋_GB2312" w:eastAsia="仿宋_GB2312" w:cs="仿宋_GB2312"/>
                <w:kern w:val="0"/>
                <w:sz w:val="21"/>
                <w:szCs w:val="21"/>
                <w:lang w:bidi="ar"/>
              </w:rPr>
              <w:t>物流信息管理法律制度</w:t>
            </w:r>
            <w:r>
              <w:rPr>
                <w:rFonts w:hint="eastAsia" w:ascii="仿宋_GB2312" w:hAnsi="仿宋_GB2312" w:eastAsia="仿宋_GB2312" w:cs="仿宋_GB2312"/>
                <w:kern w:val="0"/>
                <w:sz w:val="21"/>
                <w:szCs w:val="21"/>
                <w:lang w:bidi="ar"/>
              </w:rPr>
              <w:t>的基本内容；</w:t>
            </w:r>
          </w:p>
          <w:p>
            <w:pPr>
              <w:pStyle w:val="13"/>
              <w:widowControl/>
              <w:kinsoku w:val="0"/>
              <w:autoSpaceDE w:val="0"/>
              <w:autoSpaceDN w:val="0"/>
              <w:adjustRightInd w:val="0"/>
              <w:snapToGrid w:val="0"/>
              <w:spacing w:before="0" w:beforeAutospacing="0" w:after="0" w:afterAutospacing="0" w:line="360" w:lineRule="exact"/>
              <w:jc w:val="left"/>
              <w:textAlignment w:val="baseline"/>
              <w:rPr>
                <w:rFonts w:ascii="仿宋_GB2312" w:hAnsi="仿宋_GB2312" w:eastAsia="仿宋_GB2312" w:cs="仿宋_GB2312"/>
                <w:b/>
                <w:bCs/>
                <w:kern w:val="0"/>
                <w:sz w:val="21"/>
                <w:szCs w:val="21"/>
                <w:lang w:bidi="ar"/>
              </w:rPr>
            </w:pPr>
            <w:r>
              <w:rPr>
                <w:rFonts w:ascii="仿宋_GB2312" w:hAnsi="仿宋_GB2312" w:eastAsia="仿宋_GB2312" w:cs="仿宋_GB2312"/>
                <w:kern w:val="0"/>
                <w:sz w:val="21"/>
                <w:szCs w:val="21"/>
                <w:lang w:bidi="ar"/>
              </w:rPr>
              <w:t>2.</w:t>
            </w:r>
            <w:r>
              <w:rPr>
                <w:rFonts w:hint="eastAsia" w:ascii="仿宋_GB2312" w:hAnsi="仿宋_GB2312" w:eastAsia="仿宋_GB2312" w:cs="仿宋_GB2312"/>
                <w:kern w:val="0"/>
                <w:sz w:val="21"/>
                <w:szCs w:val="21"/>
                <w:lang w:bidi="ar"/>
              </w:rPr>
              <w:t>能够利用</w:t>
            </w:r>
            <w:r>
              <w:rPr>
                <w:rFonts w:ascii="仿宋_GB2312" w:hAnsi="仿宋_GB2312" w:eastAsia="仿宋_GB2312" w:cs="仿宋_GB2312"/>
                <w:kern w:val="0"/>
                <w:sz w:val="21"/>
                <w:szCs w:val="21"/>
                <w:lang w:bidi="ar"/>
              </w:rPr>
              <w:t>物流信息管理法律制度</w:t>
            </w:r>
            <w:r>
              <w:rPr>
                <w:rFonts w:hint="eastAsia" w:ascii="仿宋_GB2312" w:hAnsi="仿宋_GB2312" w:eastAsia="仿宋_GB2312" w:cs="仿宋_GB2312"/>
                <w:kern w:val="0"/>
                <w:sz w:val="21"/>
                <w:szCs w:val="21"/>
                <w:lang w:bidi="ar"/>
              </w:rPr>
              <w:t>进行物流活动和电子商务活动。</w:t>
            </w:r>
          </w:p>
        </w:tc>
        <w:tc>
          <w:tcPr>
            <w:tcW w:w="2833" w:type="dxa"/>
            <w:tcBorders>
              <w:top w:val="single" w:color="auto" w:sz="4" w:space="0"/>
              <w:left w:val="nil"/>
              <w:bottom w:val="single" w:color="auto" w:sz="4" w:space="0"/>
              <w:right w:val="single" w:color="auto" w:sz="4" w:space="0"/>
            </w:tcBorders>
            <w:vAlign w:val="center"/>
          </w:tcPr>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1.复习提问，教师讲解新授内容；</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2.结合实际案例引导学生进行讨论；</w:t>
            </w:r>
          </w:p>
          <w:p>
            <w:pPr>
              <w:pStyle w:val="13"/>
              <w:autoSpaceDE w:val="0"/>
              <w:autoSpaceDN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3.导入思政：能够利用</w:t>
            </w:r>
            <w:r>
              <w:rPr>
                <w:rFonts w:ascii="仿宋_GB2312" w:hAnsi="仿宋_GB2312" w:eastAsia="仿宋_GB2312" w:cs="仿宋_GB2312"/>
                <w:kern w:val="0"/>
                <w:sz w:val="21"/>
                <w:szCs w:val="21"/>
                <w:lang w:bidi="ar"/>
              </w:rPr>
              <w:t>物流信息管理法律制度</w:t>
            </w:r>
            <w:r>
              <w:rPr>
                <w:rFonts w:hint="eastAsia" w:ascii="仿宋_GB2312" w:hAnsi="仿宋_GB2312" w:eastAsia="仿宋_GB2312" w:cs="仿宋_GB2312"/>
                <w:kern w:val="0"/>
                <w:sz w:val="21"/>
                <w:szCs w:val="21"/>
                <w:lang w:bidi="ar"/>
              </w:rPr>
              <w:t>进行物流活动和电子商务活动，使学生明德守法，懂得依法物流和电子商务的重要性。</w:t>
            </w:r>
          </w:p>
        </w:tc>
        <w:tc>
          <w:tcPr>
            <w:tcW w:w="1067"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line="38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（1）坚持正确的育人理念，充分挖掘本课程思政元素，积极组织课程思政教育，养成正确的物流从业人员职业道德意识，将立德树人贯穿于课程实施全过程。</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课程以物流法律法规为主体，以职业实践为主线，积极探索理论和实践相结合的教学模式，引导学生通过分析典型案例，使学生获得物流过程的各个环节与其相关的法律、法规和国际公约、国际惯例等理论知识与专业技能。</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物流企业应用的物流法律相结合，力求学以致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（4）教学过程中注重学生自主学习，引导学生从多个角度提出问题，用多种方法解决问题，运用多种信息技术手段丰富教学内容，多采用案例分析，提高教学效果。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（5）针对不同的学习内容和学生个体差异，采用小组讨论的学习方式，加强组员之间、小组之间的及时沟通和交流，促进学生在教师指导下主动地、富有个性地学习。</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（4）注重将评价结果及时、客观向学生反映，指出被评价者需要改进的方面，调动学生的学习积极性。</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模拟法律法规应用”一体化考核，调动学生的学习主动性,锻炼实践技能,提高教学质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（1）配备课程必备的教材案例资料，模拟进行案例分析。</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（2）注重企业实践的作用，安排学生到物流企业参观学习，增强学生的感性认识。</w:t>
      </w:r>
    </w:p>
    <w:p>
      <w:pPr>
        <w:pStyle w:val="13"/>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4.教材编写与选用</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（1）教材编写以本课程标准为基本要求，编写时应将物流法律法规的基本原理与物流实际应用相结合，注重实践技能的培养，注意学习物流领域的新知识、新法规。</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（3）教材应配备习题集等其他相关的教学资料。</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959"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69"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6"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物流相关的法律规范的渊源</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物流法律规范的内容</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学生讨论，分组教学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物流法的现状与问题</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物流法律关系的三要素</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物流服务合同的相关内容</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物流企业的含义和分类</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学生讨论，分组教学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物流企业在物流活动中的法律责任</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国际公约的主要内容</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保管合同当事人的义务</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仓储合同的法律特征</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学生讨论，分组教学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《港口货物作业规则》的主要内容</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普通货物运输包装的基本要求</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学生讨论，教学演示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危险货物运输包装的基本要求</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加工承揽合同的主要内容</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学生讨论，分组教学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配送合同的种类</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配送合同当事人的权利义务</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物流信息管理法律制度概述</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bottom"/>
          </w:tcPr>
          <w:p>
            <w:pPr>
              <w:autoSpaceDE w:val="0"/>
              <w:adjustRightInd w:val="0"/>
              <w:snapToGrid w:val="0"/>
              <w:spacing w:line="276" w:lineRule="auto"/>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电子商务法律制度概述</w:t>
            </w:r>
          </w:p>
        </w:tc>
        <w:tc>
          <w:tcPr>
            <w:tcW w:w="1276"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bottom"/>
          </w:tcPr>
          <w:p>
            <w:pPr>
              <w:autoSpaceDE w:val="0"/>
              <w:adjustRightInd w:val="0"/>
              <w:snapToGrid w:val="0"/>
              <w:spacing w:line="276" w:lineRule="auto"/>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学生讨论，分组教学</w:t>
            </w:r>
          </w:p>
        </w:tc>
      </w:tr>
    </w:tbl>
    <w:p>
      <w:pPr>
        <w:widowControl/>
        <w:jc w:val="left"/>
        <w:rPr>
          <w:rFonts w:ascii="方正小标宋简体" w:hAnsi="方正小标宋简体" w:eastAsia="方正小标宋简体" w:cs="方正小标宋简体"/>
          <w:sz w:val="32"/>
          <w:szCs w:val="32"/>
        </w:rPr>
      </w:pPr>
    </w:p>
    <w:p>
      <w:pPr>
        <w:widowControl/>
        <w:jc w:val="left"/>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after="120" w:afterLines="50" w:line="5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智慧物流技术与实务课程标准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widowControl/>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_GB2312" w:hAnsi="仿宋_GB2312" w:eastAsia="仿宋_GB2312" w:cs="仿宋_GB2312"/>
          <w:sz w:val="32"/>
          <w:szCs w:val="32"/>
        </w:rPr>
        <w:t>本课程是中职物流服务与管理专业的专业基础课程。通过对本课程的物流的基本原理、物流选址、物流活动中涉及的物流技术及操作流程的学习，培养学生掌握物流设施设备的使用、物流技术的动手能力，提高学生综合素质和职业能力，为就业提供实践经验。</w:t>
      </w:r>
    </w:p>
    <w:p>
      <w:pPr>
        <w:autoSpaceDE w:val="0"/>
        <w:autoSpaceDN w:val="0"/>
        <w:adjustRightInd w:val="0"/>
        <w:spacing w:line="560" w:lineRule="exact"/>
        <w:ind w:firstLine="640" w:firstLineChars="200"/>
        <w:jc w:val="left"/>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rPr>
        <w:t>能够利用物流时间与空间、效益背反基本原理来解释相关的物流活动；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（2）能够根据已知信息进行简单的仓库选址，并画出仓库布局图；</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（3）能够根据货物属性进行储位编码；</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（4）能够根据订单选择合适的拣货方式；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rPr>
        <w:t>（5）能够根据实际情况优化车辆行走路线；</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w:t>
      </w:r>
      <w:r>
        <w:rPr>
          <w:rFonts w:hint="eastAsia" w:ascii="仿宋_GB2312" w:hAnsi="仿宋_GB2312" w:eastAsia="仿宋_GB2312" w:cs="仿宋_GB2312"/>
          <w:sz w:val="32"/>
          <w:szCs w:val="32"/>
        </w:rPr>
        <w:t>能够制作、打印、使用条码和RFID标签；</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w:t>
      </w:r>
      <w:r>
        <w:rPr>
          <w:rFonts w:hint="eastAsia" w:ascii="仿宋_GB2312" w:hAnsi="仿宋_GB2312" w:eastAsia="仿宋_GB2312" w:cs="仿宋_GB2312"/>
          <w:sz w:val="32"/>
          <w:szCs w:val="32"/>
        </w:rPr>
        <w:t>能够应用电子数据交换技术(EDI) ；</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（8）</w:t>
      </w:r>
      <w:r>
        <w:rPr>
          <w:rFonts w:hint="eastAsia" w:ascii="仿宋_GB2312" w:hAnsi="仿宋_GB2312" w:eastAsia="仿宋_GB2312" w:cs="仿宋_GB2312"/>
          <w:sz w:val="32"/>
          <w:szCs w:val="32"/>
        </w:rPr>
        <w:t>能够操作地理信息系统(GIS)、卫星全球定位系统 (GPS)；</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（9）</w:t>
      </w:r>
      <w:r>
        <w:rPr>
          <w:rFonts w:hint="eastAsia" w:ascii="仿宋_GB2312" w:hAnsi="仿宋_GB2312" w:eastAsia="仿宋_GB2312" w:cs="仿宋_GB2312"/>
          <w:sz w:val="32"/>
          <w:szCs w:val="32"/>
        </w:rPr>
        <w:t>能够应用企业物流信息管理系统处理物流业务；</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（10）</w:t>
      </w:r>
      <w:r>
        <w:rPr>
          <w:rFonts w:hint="eastAsia" w:ascii="仿宋_GB2312" w:hAnsi="仿宋_GB2312" w:eastAsia="仿宋_GB2312" w:cs="仿宋_GB2312"/>
          <w:sz w:val="32"/>
          <w:szCs w:val="32"/>
        </w:rPr>
        <w:t>能够应用第三方物流信息管理系统处理第三方物流业务；</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（11）</w:t>
      </w:r>
      <w:r>
        <w:rPr>
          <w:rFonts w:hint="eastAsia" w:ascii="仿宋_GB2312" w:hAnsi="仿宋_GB2312" w:eastAsia="仿宋_GB2312" w:cs="仿宋_GB2312"/>
          <w:sz w:val="32"/>
          <w:szCs w:val="32"/>
        </w:rPr>
        <w:t>能够应用报关报检信息管理系统处理报关报检业务。</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（1）能够辨识物流保管设备有哪些；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（2）能够掌握物流拣取 配送 运输 流通加工流程；</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（3）能够</w:t>
      </w:r>
      <w:r>
        <w:rPr>
          <w:rFonts w:hint="eastAsia" w:ascii="仿宋_GB2312" w:hAnsi="仿宋_GB2312" w:eastAsia="仿宋_GB2312" w:cs="仿宋_GB2312"/>
          <w:kern w:val="0"/>
          <w:sz w:val="32"/>
          <w:szCs w:val="32"/>
          <w:lang w:bidi="ar"/>
        </w:rPr>
        <w:t>具备一定发现问题与解决问题的能力；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w:t>
      </w:r>
      <w:r>
        <w:rPr>
          <w:rFonts w:hint="eastAsia" w:ascii="仿宋_GB2312" w:eastAsia="仿宋_GB2312"/>
          <w:sz w:val="32"/>
          <w:szCs w:val="32"/>
        </w:rPr>
        <w:t>能够应用企业物流信息管理系统处理物流业务；</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（5）能够了解客服沟通服务技巧；</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（6）能够从案例中寻找共性举一反三，不断养成岗位要求需要的职业素养。</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autoSpaceDE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autoSpaceDE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tbl>
      <w:tblPr>
        <w:tblStyle w:val="15"/>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75"/>
        <w:gridCol w:w="3065"/>
        <w:gridCol w:w="2644"/>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275"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065"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644"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263"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物流技术</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概述</w:t>
            </w:r>
          </w:p>
        </w:tc>
        <w:tc>
          <w:tcPr>
            <w:tcW w:w="306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1.物流科学与物流技术概念；</w:t>
            </w:r>
          </w:p>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2.物流技术的性质与分类；</w:t>
            </w:r>
          </w:p>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3.物流设施与装备；</w:t>
            </w:r>
          </w:p>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4.现代物流技术简介。</w:t>
            </w:r>
          </w:p>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1.了解物流技术概念和性质；</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2.掌握物流技术的分类方法及其内容；</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3.掌握物流设施种类及内容；</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4.了解现代物流技术的发展趋势。</w:t>
            </w:r>
          </w:p>
        </w:tc>
        <w:tc>
          <w:tcPr>
            <w:tcW w:w="26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 xml:space="preserve"> </w:t>
            </w:r>
            <w:r>
              <w:rPr>
                <w:rFonts w:hint="eastAsia" w:ascii="仿宋_GB2312" w:hAnsi="宋体" w:eastAsia="仿宋_GB2312"/>
                <w:color w:val="000000"/>
                <w:szCs w:val="21"/>
              </w:rPr>
              <w:t>1.参观物流中心或观看物流中心运作录像，了解物流中心的物流信息技术应用；</w:t>
            </w:r>
          </w:p>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宋体" w:eastAsia="仿宋_GB2312" w:cs="宋体"/>
                <w:color w:val="000000"/>
                <w:szCs w:val="21"/>
              </w:rPr>
              <w:t>2.收集资料，开展“物流信息技术应用与发展”主题讨论。</w:t>
            </w:r>
          </w:p>
        </w:tc>
        <w:tc>
          <w:tcPr>
            <w:tcW w:w="126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default" w:ascii="仿宋_GB2312" w:hAnsi="仿宋_GB2312" w:eastAsia="仿宋_GB2312" w:cs="仿宋_GB2312"/>
                <w:kern w:val="0"/>
                <w:szCs w:val="21"/>
                <w:lang w:val="en-US" w:eastAsia="zh-CN" w:bidi="ar"/>
              </w:rPr>
            </w:pPr>
            <w:r>
              <w:rPr>
                <w:rFonts w:hint="eastAsia" w:ascii="仿宋_GB2312" w:hAnsi="仿宋_GB2312" w:eastAsia="仿宋_GB2312" w:cs="仿宋_GB2312"/>
                <w:kern w:val="0"/>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物流保管</w:t>
            </w:r>
          </w:p>
        </w:tc>
        <w:tc>
          <w:tcPr>
            <w:tcW w:w="306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1.了解物流趋势；</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2.掌握物流选址、平面布置；</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3.理解保管规划、设备、技术。</w:t>
            </w:r>
          </w:p>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1.掌握物流选址基本方法；</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2.了解物流中心平面布置；</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3.认识物流保管相关设备；</w:t>
            </w:r>
          </w:p>
          <w:p>
            <w:pPr>
              <w:widowControl/>
              <w:tabs>
                <w:tab w:val="left" w:pos="312"/>
              </w:tabs>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4.掌握物流保管技术。</w:t>
            </w:r>
          </w:p>
        </w:tc>
        <w:tc>
          <w:tcPr>
            <w:tcW w:w="264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1.根据已知信息进行简单的仓库选址，并画出仓库布局图；</w:t>
            </w:r>
          </w:p>
          <w:p>
            <w:pPr>
              <w:widowControl/>
              <w:kinsoku w:val="0"/>
              <w:autoSpaceDE w:val="0"/>
              <w:autoSpaceDN w:val="0"/>
              <w:adjustRightInd w:val="0"/>
              <w:snapToGrid w:val="0"/>
              <w:spacing w:line="32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2.能根据货物属性进行储位编码；</w:t>
            </w:r>
          </w:p>
          <w:p>
            <w:pPr>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宋体" w:eastAsia="仿宋_GB2312" w:cs="宋体"/>
                <w:color w:val="000000"/>
                <w:szCs w:val="21"/>
              </w:rPr>
              <w:t>3.会根据订单选择合适的拣货方式。</w:t>
            </w:r>
          </w:p>
        </w:tc>
        <w:tc>
          <w:tcPr>
            <w:tcW w:w="126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项目三</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物流拣取</w:t>
            </w:r>
          </w:p>
        </w:tc>
        <w:tc>
          <w:tcPr>
            <w:tcW w:w="306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tabs>
                <w:tab w:val="left" w:pos="312"/>
              </w:tabs>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ascii="仿宋_GB2312" w:hAnsi="仿宋_GB2312" w:eastAsia="仿宋_GB2312" w:cs="仿宋_GB2312"/>
                <w:kern w:val="0"/>
                <w:szCs w:val="21"/>
              </w:rPr>
              <w:t>.</w:t>
            </w:r>
            <w:r>
              <w:rPr>
                <w:rFonts w:hint="eastAsia" w:ascii="仿宋_GB2312" w:hAnsi="仿宋_GB2312" w:eastAsia="仿宋_GB2312" w:cs="仿宋_GB2312"/>
                <w:kern w:val="0"/>
                <w:szCs w:val="21"/>
              </w:rPr>
              <w:t>掌握拣货作业及拣货规划；</w:t>
            </w:r>
          </w:p>
          <w:p>
            <w:pPr>
              <w:tabs>
                <w:tab w:val="left" w:pos="312"/>
              </w:tabs>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2.掌握拣取设备规划及拣取技术。</w:t>
            </w:r>
          </w:p>
          <w:p>
            <w:pPr>
              <w:autoSpaceDE w:val="0"/>
              <w:autoSpaceDN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ascii="仿宋_GB2312" w:hAnsi="仿宋_GB2312" w:eastAsia="仿宋_GB2312" w:cs="仿宋_GB2312"/>
                <w:kern w:val="0"/>
                <w:szCs w:val="21"/>
              </w:rPr>
              <w:t>.</w:t>
            </w:r>
            <w:r>
              <w:rPr>
                <w:rFonts w:hint="eastAsia" w:ascii="仿宋_GB2312" w:hAnsi="仿宋_GB2312" w:eastAsia="仿宋_GB2312" w:cs="仿宋_GB2312"/>
                <w:kern w:val="0"/>
                <w:szCs w:val="21"/>
              </w:rPr>
              <w:t>了解物流拣取作业的标准流程；</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2.掌握物流拣取作业的相关策略，并能够结合实际情况选择适合的拣取模式；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3.了解拣取作业可采取的方式及其适用条件；</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4.了解拣取作业的信息、设备、人员安排；</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5.认识常用的拣取模式以及不同的拣取模式所搭配的设备；</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6.了解一些先进的拣取技术，着重掌握比较常用的拣取技术及其应用。</w:t>
            </w:r>
          </w:p>
        </w:tc>
        <w:tc>
          <w:tcPr>
            <w:tcW w:w="264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1.根据货物属性进行车辆装载；</w:t>
            </w:r>
          </w:p>
          <w:p>
            <w:pPr>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宋体" w:eastAsia="仿宋_GB2312" w:cs="宋体"/>
                <w:color w:val="000000"/>
                <w:szCs w:val="21"/>
              </w:rPr>
              <w:t>2.根据实际情况优化车辆行走路线。</w:t>
            </w:r>
          </w:p>
        </w:tc>
        <w:tc>
          <w:tcPr>
            <w:tcW w:w="126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项目四</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物流配送</w:t>
            </w:r>
          </w:p>
        </w:tc>
        <w:tc>
          <w:tcPr>
            <w:tcW w:w="306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autoSpaceDE w:val="0"/>
              <w:autoSpaceDN w:val="0"/>
              <w:adjustRightInd w:val="0"/>
              <w:snapToGrid w:val="0"/>
              <w:spacing w:line="32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1.了解配送概述；</w:t>
            </w:r>
          </w:p>
          <w:p>
            <w:pPr>
              <w:autoSpaceDE w:val="0"/>
              <w:autoSpaceDN w:val="0"/>
              <w:adjustRightInd w:val="0"/>
              <w:snapToGrid w:val="0"/>
              <w:spacing w:line="32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2.掌握配送流程及配送作业。</w:t>
            </w:r>
          </w:p>
          <w:p>
            <w:pPr>
              <w:autoSpaceDE w:val="0"/>
              <w:autoSpaceDN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tabs>
                <w:tab w:val="left" w:pos="312"/>
              </w:tabs>
              <w:autoSpaceDE w:val="0"/>
              <w:autoSpaceDN w:val="0"/>
              <w:adjustRightInd w:val="0"/>
              <w:snapToGrid w:val="0"/>
              <w:spacing w:line="32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1</w:t>
            </w:r>
            <w:r>
              <w:rPr>
                <w:rFonts w:ascii="仿宋_GB2312" w:hAnsi="宋体" w:eastAsia="仿宋_GB2312" w:cs="宋体"/>
                <w:color w:val="000000"/>
                <w:szCs w:val="21"/>
              </w:rPr>
              <w:t>.</w:t>
            </w:r>
            <w:r>
              <w:rPr>
                <w:rFonts w:hint="eastAsia" w:ascii="仿宋_GB2312" w:hAnsi="宋体" w:eastAsia="仿宋_GB2312" w:cs="宋体"/>
                <w:color w:val="000000"/>
                <w:szCs w:val="21"/>
              </w:rPr>
              <w:t>了解配送的概念与分类；</w:t>
            </w:r>
          </w:p>
          <w:p>
            <w:pPr>
              <w:tabs>
                <w:tab w:val="left" w:pos="312"/>
              </w:tabs>
              <w:autoSpaceDE w:val="0"/>
              <w:autoSpaceDN w:val="0"/>
              <w:adjustRightInd w:val="0"/>
              <w:snapToGrid w:val="0"/>
              <w:spacing w:line="32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2</w:t>
            </w:r>
            <w:r>
              <w:rPr>
                <w:rFonts w:ascii="仿宋_GB2312" w:hAnsi="宋体" w:eastAsia="仿宋_GB2312" w:cs="宋体"/>
                <w:color w:val="000000"/>
                <w:szCs w:val="21"/>
              </w:rPr>
              <w:t>.</w:t>
            </w:r>
            <w:r>
              <w:rPr>
                <w:rFonts w:hint="eastAsia" w:ascii="仿宋_GB2312" w:hAnsi="宋体" w:eastAsia="仿宋_GB2312" w:cs="宋体"/>
                <w:color w:val="000000"/>
                <w:szCs w:val="21"/>
              </w:rPr>
              <w:t>认识配送的基本环节；</w:t>
            </w:r>
          </w:p>
          <w:p>
            <w:pPr>
              <w:tabs>
                <w:tab w:val="left" w:pos="312"/>
              </w:tabs>
              <w:autoSpaceDE w:val="0"/>
              <w:autoSpaceDN w:val="0"/>
              <w:adjustRightInd w:val="0"/>
              <w:snapToGrid w:val="0"/>
              <w:spacing w:line="32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3</w:t>
            </w:r>
            <w:r>
              <w:rPr>
                <w:rFonts w:ascii="仿宋_GB2312" w:hAnsi="宋体" w:eastAsia="仿宋_GB2312" w:cs="宋体"/>
                <w:color w:val="000000"/>
                <w:szCs w:val="21"/>
              </w:rPr>
              <w:t>.</w:t>
            </w:r>
            <w:r>
              <w:rPr>
                <w:rFonts w:hint="eastAsia" w:ascii="仿宋_GB2312" w:hAnsi="宋体" w:eastAsia="仿宋_GB2312" w:cs="宋体"/>
                <w:color w:val="000000"/>
                <w:szCs w:val="21"/>
              </w:rPr>
              <w:t>掌握配送作业的内容及管理并能进行实际操作。</w:t>
            </w:r>
          </w:p>
        </w:tc>
        <w:tc>
          <w:tcPr>
            <w:tcW w:w="264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1.制作和打印条码；</w:t>
            </w:r>
          </w:p>
          <w:p>
            <w:pPr>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宋体" w:eastAsia="仿宋_GB2312" w:cs="宋体"/>
                <w:color w:val="000000"/>
                <w:szCs w:val="21"/>
              </w:rPr>
              <w:t>2.编辑和操作RFID标签。</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项目五</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物流运输</w:t>
            </w:r>
          </w:p>
        </w:tc>
        <w:tc>
          <w:tcPr>
            <w:tcW w:w="306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tabs>
                <w:tab w:val="left" w:pos="312"/>
              </w:tabs>
              <w:autoSpaceDE w:val="0"/>
              <w:autoSpaceDN w:val="0"/>
              <w:adjustRightInd w:val="0"/>
              <w:snapToGrid w:val="0"/>
              <w:spacing w:line="32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1.理解运输方式以及运输网络设计；</w:t>
            </w:r>
          </w:p>
          <w:p>
            <w:pPr>
              <w:tabs>
                <w:tab w:val="left" w:pos="312"/>
              </w:tabs>
              <w:autoSpaceDE w:val="0"/>
              <w:autoSpaceDN w:val="0"/>
              <w:adjustRightInd w:val="0"/>
              <w:snapToGrid w:val="0"/>
              <w:spacing w:line="32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2.掌握运输调度；</w:t>
            </w:r>
          </w:p>
          <w:p>
            <w:pPr>
              <w:tabs>
                <w:tab w:val="left" w:pos="312"/>
              </w:tabs>
              <w:autoSpaceDE w:val="0"/>
              <w:autoSpaceDN w:val="0"/>
              <w:adjustRightInd w:val="0"/>
              <w:snapToGrid w:val="0"/>
              <w:spacing w:line="32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3.理解第三方物流。</w:t>
            </w:r>
          </w:p>
          <w:p>
            <w:pPr>
              <w:autoSpaceDE w:val="0"/>
              <w:autoSpaceDN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20" w:lineRule="exact"/>
              <w:jc w:val="lef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1.了解各种运输方式的特点；</w:t>
            </w:r>
            <w:r>
              <w:rPr>
                <w:rFonts w:hint="eastAsia" w:ascii="仿宋_GB2312" w:hAnsi="宋体" w:eastAsia="仿宋_GB2312" w:cs="宋体"/>
                <w:color w:val="000000"/>
                <w:szCs w:val="21"/>
              </w:rPr>
              <w:br w:type="textWrapping"/>
            </w:r>
            <w:r>
              <w:rPr>
                <w:rFonts w:hint="eastAsia" w:ascii="仿宋_GB2312" w:hAnsi="宋体" w:eastAsia="仿宋_GB2312" w:cs="宋体"/>
                <w:color w:val="000000"/>
                <w:szCs w:val="21"/>
              </w:rPr>
              <w:t>2.了解运输网络的模式；</w:t>
            </w:r>
            <w:r>
              <w:rPr>
                <w:rFonts w:hint="eastAsia" w:ascii="仿宋_GB2312" w:hAnsi="宋体" w:eastAsia="仿宋_GB2312" w:cs="宋体"/>
                <w:color w:val="000000"/>
                <w:szCs w:val="21"/>
              </w:rPr>
              <w:br w:type="textWrapping"/>
            </w:r>
            <w:r>
              <w:rPr>
                <w:rFonts w:hint="eastAsia" w:ascii="仿宋_GB2312" w:hAnsi="宋体" w:eastAsia="仿宋_GB2312" w:cs="宋体"/>
                <w:color w:val="000000"/>
                <w:szCs w:val="21"/>
              </w:rPr>
              <w:t>3.掌握运输调度的原则和方法；</w:t>
            </w:r>
            <w:r>
              <w:rPr>
                <w:rFonts w:hint="eastAsia" w:ascii="仿宋_GB2312" w:hAnsi="宋体" w:eastAsia="仿宋_GB2312" w:cs="宋体"/>
                <w:color w:val="000000"/>
                <w:szCs w:val="21"/>
              </w:rPr>
              <w:br w:type="textWrapping"/>
            </w:r>
            <w:r>
              <w:rPr>
                <w:rFonts w:hint="eastAsia" w:ascii="仿宋_GB2312" w:hAnsi="宋体" w:eastAsia="仿宋_GB2312" w:cs="宋体"/>
                <w:color w:val="000000"/>
                <w:szCs w:val="21"/>
              </w:rPr>
              <w:t>4.认识运输外包的管理方法。</w:t>
            </w:r>
          </w:p>
        </w:tc>
        <w:tc>
          <w:tcPr>
            <w:tcW w:w="264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1.应用客户管理系统(CRM)，通过系统操作，体验数据库在物流企业管理信息系统中的应用；</w:t>
            </w:r>
          </w:p>
          <w:p>
            <w:pPr>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宋体" w:eastAsia="仿宋_GB2312" w:cs="宋体"/>
                <w:color w:val="000000"/>
                <w:szCs w:val="21"/>
              </w:rPr>
              <w:t>2.应用EDI仿真系统，体验电子数据交换技术的应用。</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项目六</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物流信息</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系统</w:t>
            </w:r>
          </w:p>
        </w:tc>
        <w:tc>
          <w:tcPr>
            <w:tcW w:w="306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4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autoSpaceDE w:val="0"/>
              <w:autoSpaceDN w:val="0"/>
              <w:adjustRightInd w:val="0"/>
              <w:snapToGrid w:val="0"/>
              <w:spacing w:line="34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1.了解物流信息系统概述；</w:t>
            </w:r>
          </w:p>
          <w:p>
            <w:pPr>
              <w:autoSpaceDE w:val="0"/>
              <w:autoSpaceDN w:val="0"/>
              <w:adjustRightInd w:val="0"/>
              <w:snapToGrid w:val="0"/>
              <w:spacing w:line="340" w:lineRule="exact"/>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2.掌握作业信息、管理、抉择系统。</w:t>
            </w:r>
          </w:p>
          <w:p>
            <w:pPr>
              <w:autoSpaceDE w:val="0"/>
              <w:autoSpaceDN w:val="0"/>
              <w:adjustRightInd w:val="0"/>
              <w:snapToGrid w:val="0"/>
              <w:spacing w:line="34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40" w:lineRule="exact"/>
              <w:jc w:val="left"/>
              <w:textAlignment w:val="baseline"/>
              <w:rPr>
                <w:rFonts w:ascii="仿宋_GB2312" w:hAnsi="宋体" w:eastAsia="仿宋_GB2312" w:cs="宋体"/>
                <w:color w:val="000000"/>
                <w:szCs w:val="21"/>
              </w:rPr>
            </w:pPr>
            <w:r>
              <w:rPr>
                <w:rFonts w:hint="eastAsia" w:ascii="仿宋_GB2312" w:hAnsi="宋体" w:eastAsia="仿宋_GB2312" w:cs="宋体"/>
                <w:szCs w:val="21"/>
              </w:rPr>
              <w:t>1</w:t>
            </w:r>
            <w:r>
              <w:rPr>
                <w:rFonts w:hint="eastAsia" w:ascii="仿宋_GB2312" w:hAnsi="宋体" w:eastAsia="仿宋_GB2312" w:cs="宋体"/>
                <w:color w:val="000000"/>
                <w:szCs w:val="21"/>
              </w:rPr>
              <w:t>.认识物流信息系统的重要性，能说出物流信息系统的发展过程；</w:t>
            </w:r>
            <w:r>
              <w:rPr>
                <w:rFonts w:hint="eastAsia" w:ascii="仿宋_GB2312" w:hAnsi="宋体" w:eastAsia="仿宋_GB2312" w:cs="宋体"/>
                <w:color w:val="000000"/>
                <w:szCs w:val="21"/>
              </w:rPr>
              <w:br w:type="textWrapping"/>
            </w:r>
            <w:r>
              <w:rPr>
                <w:rFonts w:hint="eastAsia" w:ascii="仿宋_GB2312" w:hAnsi="宋体" w:eastAsia="仿宋_GB2312" w:cs="宋体"/>
                <w:color w:val="000000"/>
                <w:szCs w:val="21"/>
              </w:rPr>
              <w:t>2.掌握物流信息系统的主要内容及基本功能；</w:t>
            </w:r>
            <w:r>
              <w:rPr>
                <w:rFonts w:hint="eastAsia" w:ascii="仿宋_GB2312" w:hAnsi="宋体" w:eastAsia="仿宋_GB2312" w:cs="宋体"/>
                <w:color w:val="000000"/>
                <w:szCs w:val="21"/>
              </w:rPr>
              <w:br w:type="textWrapping"/>
            </w:r>
            <w:r>
              <w:rPr>
                <w:rFonts w:hint="eastAsia" w:ascii="仿宋_GB2312" w:hAnsi="宋体" w:eastAsia="仿宋_GB2312" w:cs="宋体"/>
                <w:color w:val="000000"/>
                <w:szCs w:val="21"/>
              </w:rPr>
              <w:t>3.认识物流作业信息系统的基本功能模块和功能。</w:t>
            </w:r>
          </w:p>
        </w:tc>
        <w:tc>
          <w:tcPr>
            <w:tcW w:w="264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1.应用电子导航系统或电子地图，设计货运运输线路，体验使用地理信息系统应用；</w:t>
            </w:r>
          </w:p>
          <w:p>
            <w:pPr>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宋体" w:eastAsia="仿宋_GB2312" w:cs="宋体"/>
                <w:color w:val="000000"/>
                <w:szCs w:val="21"/>
              </w:rPr>
              <w:t>2.应用北斗若与GPS全球定位系统，体验信息技术在车辆管理中的应用。</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7</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项目七</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流通加工</w:t>
            </w:r>
          </w:p>
        </w:tc>
        <w:tc>
          <w:tcPr>
            <w:tcW w:w="306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1.了解流通加工概述；</w:t>
            </w:r>
          </w:p>
          <w:p>
            <w:pPr>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2.掌握物流配送中心的加工、规划、成本。</w:t>
            </w:r>
          </w:p>
          <w:p>
            <w:pPr>
              <w:autoSpaceDE w:val="0"/>
              <w:autoSpaceDN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1.熟悉流通加工的概念、意义、作用、合理化以及类型；</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2.知晓流通加工基本作业内容；</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3.掌握流通加工规划内容；</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4.掌握流通加工作业标准流程；</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5.了解流通加工人力配置方法；</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6.掌握流通加工成本预算。</w:t>
            </w:r>
          </w:p>
        </w:tc>
        <w:tc>
          <w:tcPr>
            <w:tcW w:w="264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1.应用智能货运管理系统，体验信息技术在物流运输管理中的应用；</w:t>
            </w:r>
          </w:p>
          <w:p>
            <w:pPr>
              <w:autoSpaceDE w:val="0"/>
              <w:autoSpaceDN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2.应用ERP和CRM系统，体验提高物流客户服务质量的途径。</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项目八</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物流系统</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要素及其</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集成</w:t>
            </w:r>
          </w:p>
        </w:tc>
        <w:tc>
          <w:tcPr>
            <w:tcW w:w="306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r>
              <w:rPr>
                <w:rFonts w:hint="eastAsia" w:ascii="仿宋_GB2312" w:hAnsi="仿宋_GB2312" w:eastAsia="仿宋_GB2312" w:cs="仿宋_GB2312"/>
                <w:kern w:val="0"/>
                <w:szCs w:val="21"/>
                <w:lang w:bidi="ar"/>
              </w:rPr>
              <w:t>：</w:t>
            </w:r>
          </w:p>
          <w:p>
            <w:pPr>
              <w:autoSpaceDE w:val="0"/>
              <w:autoSpaceDN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1.了解决物流系统概述；</w:t>
            </w:r>
          </w:p>
          <w:p>
            <w:pPr>
              <w:autoSpaceDE w:val="0"/>
              <w:autoSpaceDN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2.掌握物流系统的流动、功能、职称要素。</w:t>
            </w:r>
          </w:p>
          <w:p>
            <w:pPr>
              <w:autoSpaceDE w:val="0"/>
              <w:autoSpaceDN w:val="0"/>
              <w:adjustRightInd w:val="0"/>
              <w:snapToGrid w:val="0"/>
              <w:spacing w:line="32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1.掌握系统和物流系统的概念；</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2.弄清物流系统及其组成要素之间的关系；</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3.分清物流系统的三大要素。</w:t>
            </w:r>
          </w:p>
        </w:tc>
        <w:tc>
          <w:tcPr>
            <w:tcW w:w="264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1.参观物流实训中心的自动化立体仓库或观看自动化立体仓库运作录像，体验物流信息技术应用；</w:t>
            </w:r>
          </w:p>
          <w:p>
            <w:pPr>
              <w:widowControl/>
              <w:kinsoku w:val="0"/>
              <w:autoSpaceDE w:val="0"/>
              <w:autoSpaceDN w:val="0"/>
              <w:adjustRightInd w:val="0"/>
              <w:snapToGrid w:val="0"/>
              <w:spacing w:line="32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2.观看录像，认知信息传感技术设备；</w:t>
            </w:r>
          </w:p>
          <w:p>
            <w:pPr>
              <w:widowControl/>
              <w:kinsoku w:val="0"/>
              <w:autoSpaceDE w:val="0"/>
              <w:autoSpaceDN w:val="0"/>
              <w:adjustRightInd w:val="0"/>
              <w:snapToGrid w:val="0"/>
              <w:spacing w:line="320" w:lineRule="exact"/>
              <w:jc w:val="left"/>
              <w:textAlignment w:val="baseline"/>
              <w:rPr>
                <w:rFonts w:ascii="仿宋_GB2312" w:hAnsi="宋体" w:eastAsia="仿宋_GB2312"/>
                <w:color w:val="000000"/>
                <w:szCs w:val="21"/>
              </w:rPr>
            </w:pPr>
            <w:r>
              <w:rPr>
                <w:rFonts w:hint="eastAsia" w:ascii="仿宋_GB2312" w:hAnsi="宋体" w:eastAsia="仿宋_GB2312"/>
                <w:color w:val="000000"/>
                <w:szCs w:val="21"/>
              </w:rPr>
              <w:t>3</w:t>
            </w:r>
            <w:r>
              <w:rPr>
                <w:rFonts w:ascii="仿宋_GB2312" w:hAnsi="宋体" w:eastAsia="仿宋_GB2312"/>
                <w:color w:val="000000"/>
                <w:szCs w:val="21"/>
              </w:rPr>
              <w:t>.</w:t>
            </w:r>
            <w:r>
              <w:rPr>
                <w:rFonts w:hint="eastAsia" w:ascii="仿宋_GB2312" w:hAnsi="宋体" w:eastAsia="仿宋_GB2312" w:cs="宋体"/>
                <w:color w:val="000000"/>
                <w:szCs w:val="21"/>
              </w:rPr>
              <w:t>操控自动导引搬运车或观看操控录像，体验信息技术在运输管理中应用。</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127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项目九</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物流支援</w:t>
            </w:r>
          </w:p>
          <w:p>
            <w:pPr>
              <w:widowControl/>
              <w:kinsoku w:val="0"/>
              <w:autoSpaceDE w:val="0"/>
              <w:autoSpaceDN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职能</w:t>
            </w:r>
          </w:p>
        </w:tc>
        <w:tc>
          <w:tcPr>
            <w:tcW w:w="306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2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1.掌握物流业务职能物流会计、财务管理、企业规划等职能；</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2.了解国际物流。</w:t>
            </w:r>
          </w:p>
          <w:p>
            <w:pPr>
              <w:autoSpaceDE w:val="0"/>
              <w:autoSpaceDN w:val="0"/>
              <w:adjustRightInd w:val="0"/>
              <w:snapToGrid w:val="0"/>
              <w:spacing w:line="32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1.了解物流业务职能、物流会计职能、物流财务职能、物流企划职能、物流培训职能；</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2.理解海运、空运和国际货运代理的作业流程；</w:t>
            </w:r>
          </w:p>
          <w:p>
            <w:pPr>
              <w:autoSpaceDE w:val="0"/>
              <w:autoSpaceDN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3.熟悉报检、报关的基本概念。</w:t>
            </w:r>
          </w:p>
        </w:tc>
        <w:tc>
          <w:tcPr>
            <w:tcW w:w="26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宋体" w:eastAsia="仿宋_GB2312" w:cs="宋体"/>
                <w:color w:val="000000"/>
                <w:szCs w:val="21"/>
              </w:rPr>
              <w:t>实地教学，操作实训中心的自动识别、自动存取和分拣设备。</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w:t>
      </w:r>
      <w:r>
        <w:rPr>
          <w:rFonts w:hint="eastAsia" w:ascii="仿宋_GB2312" w:hAnsi="宋体" w:eastAsia="仿宋_GB2312" w:cs="宋体"/>
          <w:kern w:val="0"/>
          <w:sz w:val="32"/>
          <w:szCs w:val="32"/>
        </w:rPr>
        <w:t>根据该课程标准，学校在教学实施前，要组织相关教师进行教学设计，明确课程实施的载体，制定课程实施具体方案，细化考核标准和确定评价方法；</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宋体" w:eastAsia="仿宋_GB2312" w:cs="宋体"/>
          <w:kern w:val="0"/>
          <w:sz w:val="32"/>
          <w:szCs w:val="32"/>
        </w:rPr>
        <w:t>本课程是一门理论与实践相结合，涉及面较广的课程，在教学过程中，可以采用任务驱动与实践操作相结合的教学方法，可在教师的引导下，让学生以小组的形式，借助实训室设施设备，合作完成。可采用案例教学的方法，帮助学生理解和分析各种物流作业处理办法，并注重培养学生独立分析判断物流业务活动合理性的能力，在教学过程中还要加强对学生遵纪守法的职业习惯的培养。</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w:t>
      </w:r>
      <w:r>
        <w:rPr>
          <w:rFonts w:hint="eastAsia" w:ascii="仿宋_GB2312" w:hAnsi="宋体" w:eastAsia="仿宋_GB2312" w:cs="宋体"/>
          <w:kern w:val="0"/>
          <w:sz w:val="32"/>
          <w:szCs w:val="32"/>
        </w:rPr>
        <w:t>本课程的评价原则主要是教师的评价与学生的相互评价相结合；过程性评价与结果性评价相结合。在考核方式上可采用笔试、案例分析、综合评价等多种形式。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w:t>
      </w:r>
      <w:r>
        <w:rPr>
          <w:rFonts w:hint="eastAsia" w:ascii="仿宋_GB2312" w:hAnsi="宋体" w:eastAsia="仿宋_GB2312" w:cs="宋体"/>
          <w:kern w:val="0"/>
          <w:sz w:val="32"/>
          <w:szCs w:val="32"/>
        </w:rPr>
        <w:t>过程性评价中注重对学生搜集、整理、分析物流活动相关技术与实务操作能力的评价，运用所掌握的物流知识分析判断物流操作合理性的评价，同时也要对学生在课堂讨论、小组合作等活动中所表现的学习态度、合作意识等方面进行评价。结果性评价可以采用笔试、案例分析等多种方式进行评价。</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宋体" w:eastAsia="仿宋_GB2312" w:cs="宋体"/>
          <w:kern w:val="0"/>
          <w:sz w:val="32"/>
          <w:szCs w:val="32"/>
        </w:rPr>
        <w:t>课堂教学条件：多媒体教室、多媒体设备、教学录像、视频等资料。</w:t>
      </w:r>
      <w:r>
        <w:rPr>
          <w:rFonts w:hint="eastAsia" w:ascii="仿宋_GB2312" w:hAnsi="宋体" w:eastAsia="仿宋_GB2312" w:cs="宋体"/>
          <w:kern w:val="0"/>
          <w:sz w:val="32"/>
          <w:szCs w:val="32"/>
        </w:rPr>
        <w:br w:type="textWrapping"/>
      </w:r>
      <w:r>
        <w:rPr>
          <w:rFonts w:hint="eastAsia" w:ascii="仿宋_GB2312" w:hAnsi="仿宋_GB2312" w:eastAsia="仿宋_GB2312" w:cs="仿宋_GB2312"/>
          <w:sz w:val="32"/>
          <w:szCs w:val="32"/>
          <w:lang w:bidi="ar"/>
        </w:rPr>
        <w:t xml:space="preserve">    （2）</w:t>
      </w:r>
      <w:r>
        <w:rPr>
          <w:rFonts w:hint="eastAsia" w:ascii="仿宋_GB2312" w:hAnsi="宋体" w:eastAsia="仿宋_GB2312" w:cs="宋体"/>
          <w:kern w:val="0"/>
          <w:sz w:val="32"/>
          <w:szCs w:val="32"/>
        </w:rPr>
        <w:t>实训条件：参照物流实训室以及各种实训设备标准进行，建议师生比例在1:15～1:20。</w:t>
      </w:r>
      <w:r>
        <w:rPr>
          <w:rFonts w:hint="eastAsia" w:ascii="仿宋_GB2312" w:hAnsi="宋体" w:eastAsia="仿宋_GB2312" w:cs="宋体"/>
          <w:kern w:val="0"/>
          <w:sz w:val="32"/>
          <w:szCs w:val="32"/>
        </w:rPr>
        <w:br w:type="textWrapping"/>
      </w:r>
      <w:r>
        <w:rPr>
          <w:rFonts w:hint="eastAsia" w:ascii="仿宋_GB2312" w:hAnsi="仿宋_GB2312" w:eastAsia="仿宋_GB2312" w:cs="仿宋_GB2312"/>
          <w:sz w:val="32"/>
          <w:szCs w:val="32"/>
          <w:lang w:bidi="ar"/>
        </w:rPr>
        <w:t xml:space="preserve">    （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4.教材编写与选用</w:t>
      </w:r>
    </w:p>
    <w:p>
      <w:pPr>
        <w:autoSpaceDE w:val="0"/>
        <w:adjustRightInd w:val="0"/>
        <w:snapToGrid w:val="0"/>
        <w:spacing w:line="560" w:lineRule="exact"/>
        <w:ind w:firstLine="640" w:firstLineChars="200"/>
        <w:textAlignment w:val="baseline"/>
        <w:rPr>
          <w:rFonts w:ascii="仿宋_GB2312" w:hAnsi="宋体" w:eastAsia="仿宋_GB2312" w:cs="宋体"/>
          <w:kern w:val="0"/>
          <w:sz w:val="32"/>
          <w:szCs w:val="32"/>
        </w:rPr>
      </w:pPr>
      <w:r>
        <w:rPr>
          <w:rFonts w:hint="eastAsia" w:ascii="仿宋_GB2312" w:hAnsi="仿宋_GB2312" w:eastAsia="仿宋_GB2312" w:cs="仿宋_GB2312"/>
          <w:sz w:val="32"/>
          <w:szCs w:val="32"/>
          <w:lang w:bidi="ar"/>
        </w:rPr>
        <w:t>（1）</w:t>
      </w:r>
      <w:r>
        <w:rPr>
          <w:rFonts w:hint="eastAsia" w:ascii="仿宋_GB2312" w:hAnsi="宋体" w:eastAsia="仿宋_GB2312" w:cs="宋体"/>
          <w:kern w:val="0"/>
          <w:sz w:val="32"/>
          <w:szCs w:val="32"/>
        </w:rPr>
        <w:t>主要以山东省的经济发展为基础，结合物流企业的岗位需求，充分体现职业教育特色与本省特点，以实用为原则，引入必需的理论知识，增加理实一体化教学内容，以便采用多种教学方法灵活组织教学。</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w:t>
      </w:r>
      <w:r>
        <w:rPr>
          <w:rFonts w:hint="eastAsia" w:ascii="仿宋_GB2312" w:hAnsi="宋体" w:eastAsia="仿宋_GB2312" w:cs="宋体"/>
          <w:kern w:val="0"/>
          <w:sz w:val="32"/>
          <w:szCs w:val="32"/>
        </w:rPr>
        <w:t>教材内容表达必须精炼、准确、科学，体现先进性、通用性、实用性；合理吸收本专业新思想、新理念、新技术、新设备等。教材形式应图文并茂，尽量多采用图片、流程图等，语言生动，版式活泼，符合中职学生的学习特点。</w:t>
      </w:r>
      <w:r>
        <w:rPr>
          <w:rFonts w:hint="eastAsia" w:ascii="仿宋_GB2312" w:hAnsi="宋体" w:eastAsia="仿宋_GB2312" w:cs="宋体"/>
          <w:kern w:val="0"/>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bidi="ar"/>
        </w:rPr>
        <w:t>（3）教材应配备习题集等其他相关的教学资料。</w:t>
      </w:r>
    </w:p>
    <w:p>
      <w:pPr>
        <w:autoSpaceDE w:val="0"/>
        <w:adjustRightInd w:val="0"/>
        <w:snapToGrid w:val="0"/>
        <w:spacing w:line="56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825"/>
        <w:gridCol w:w="1275"/>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89"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周次</w:t>
            </w:r>
          </w:p>
        </w:tc>
        <w:tc>
          <w:tcPr>
            <w:tcW w:w="382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教学任务</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授课时数</w:t>
            </w:r>
          </w:p>
        </w:tc>
        <w:tc>
          <w:tcPr>
            <w:tcW w:w="263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82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物流技术的概念、性质与分类</w:t>
            </w:r>
          </w:p>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82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物流设施与装备</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82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物流趋势及物流选址</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82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平面布置及保管规划</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拣货作业、规划</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拣取设备规划及拣取技术</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配送概述及配送流程</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配送作业、配送管理</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运输方式、运输网络设计</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运输调度及第三方物流</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运输信息系统概念、作业信息系统</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信息管理系统、信息决策系统</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物流加工概述及物流加工规划</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物流加工作业、物流加工成本</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系统概述、物流系统的流动要素</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物流系统的支撑要素、要素的集成</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物流业务职能及物流会计职能</w:t>
            </w:r>
          </w:p>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825" w:type="dxa"/>
            <w:tcBorders>
              <w:top w:val="single" w:color="auto" w:sz="4" w:space="0"/>
              <w:left w:val="single" w:color="auto" w:sz="4" w:space="0"/>
              <w:bottom w:val="single" w:color="auto" w:sz="4" w:space="0"/>
              <w:right w:val="single" w:color="auto" w:sz="4" w:space="0"/>
            </w:tcBorders>
            <w:vAlign w:val="center"/>
          </w:tcPr>
          <w:p>
            <w:pPr>
              <w:tabs>
                <w:tab w:val="left" w:pos="312"/>
              </w:tabs>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国际物流、物流客户服务</w:t>
            </w:r>
          </w:p>
        </w:tc>
        <w:tc>
          <w:tcPr>
            <w:tcW w:w="127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63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bl>
    <w:p>
      <w:pPr>
        <w:widowControl/>
        <w:jc w:val="left"/>
        <w:rPr>
          <w:rFonts w:ascii="方正小标宋简体" w:hAnsi="方正小标宋简体" w:eastAsia="方正小标宋简体" w:cs="方正小标宋简体"/>
          <w:sz w:val="36"/>
          <w:szCs w:val="36"/>
          <w:shd w:val="clear" w:color="auto" w:fill="FFFFFF"/>
          <w:lang w:bidi="ar"/>
        </w:rPr>
      </w:pPr>
    </w:p>
    <w:p>
      <w:pPr>
        <w:widowControl/>
        <w:jc w:val="left"/>
        <w:rPr>
          <w:rFonts w:ascii="方正小标宋简体" w:hAnsi="方正小标宋简体" w:eastAsia="方正小标宋简体" w:cs="方正小标宋简体"/>
          <w:sz w:val="36"/>
          <w:szCs w:val="36"/>
          <w:shd w:val="clear" w:color="auto" w:fill="FFFFFF"/>
          <w:lang w:bidi="ar"/>
        </w:rPr>
      </w:pPr>
      <w:r>
        <w:rPr>
          <w:rFonts w:ascii="方正小标宋简体" w:hAnsi="方正小标宋简体" w:eastAsia="方正小标宋简体" w:cs="方正小标宋简体"/>
          <w:sz w:val="36"/>
          <w:szCs w:val="36"/>
          <w:shd w:val="clear" w:color="auto" w:fill="FFFFFF"/>
          <w:lang w:bidi="ar"/>
        </w:rPr>
        <w:br w:type="page"/>
      </w:r>
    </w:p>
    <w:p>
      <w:pPr>
        <w:snapToGrid w:val="0"/>
        <w:spacing w:after="120" w:afterLines="50" w:line="56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运输实务课程标准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本课程是中等职业学校物流服务与管理专业的专业核心课程。以智慧物流基础、物流地理为先导课程，后续课程是快递运营、物流成本管理等。该课程是物流运输企业一线工作人员、基层管理人员的必修课程。</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课程具有较高的综合性，重点介绍公路运输、水路运输、铁路运输、航空运输和管道运输五种运输方式以及多式联运、货物运输保险等知识内容。旨在使学生了解智能化运输运营的新趋势，掌握不同物流运输方式的基本作业流程与操作技能。使学生具有运输经营管理能力、物流运输系统的规划与统筹等多种岗位职业能力。</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（1）具备家国情怀、行业情感以及对优秀物流文化的传承创新的意识；</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（2）具有良好的社会公德和职业道德，有较强的社会主义民主和法制观念；</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（3）具备劳动精神、劳模精神、工匠精神；</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（4）具有较强的责任感、自信心，提升人际交流能力、团队合作精神，增强社会适应能力，积极践行5S理念。</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（1）理解智能运输运营的基本概念，认识各种运输设施及设备，清楚运输作业中涉及的当事人；</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（2）掌握五种基本运输方式的概念，清楚五种运输方式的优缺点；</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（3）认识多式联运、清楚多式联运的经营条件、知道多式联运业务组织；</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（4）理解货物运输保险的含义、种类和特点，知道货物运输保险主要险种的内容，清楚货物运输保险业务运作流程；</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（5）掌握危险品、鲜活品、易碎物品、大件商品的运输特点及安全管理常识。</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（1）能根据工作任务合理选用运输设备和设施；</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（2）能掌握货物运输的主要操作过程，根据情境模拟货物运输环节并根据当事人的角色对工作任务进行分析说明；</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（3）能组织公路整车货物托运和零担货物托运，会填制公路货物运单、计算公路货物运费；</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（4）能根据铁路货运情况按照实际业务要求实施货运作业，能填制铁路货物运单并计算铁路货物运费；</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（5）能根据客户要求为其办理空运、海运等业务，并计算运输费用；</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（6）能根据不同业务完成运输保险投保业务，办理或协助当事人办理运输保险索赔业务。</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（7）能组织管理危险品、鲜活品、易碎品以及大件商品的运输，并计算运费。</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autoSpaceDE w:val="0"/>
        <w:adjustRightInd w:val="0"/>
        <w:snapToGrid w:val="0"/>
        <w:spacing w:line="560" w:lineRule="exact"/>
        <w:ind w:firstLine="640" w:firstLineChars="200"/>
        <w:jc w:val="left"/>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autoSpaceDE w:val="0"/>
        <w:adjustRightInd w:val="0"/>
        <w:snapToGrid w:val="0"/>
        <w:spacing w:line="560" w:lineRule="exact"/>
        <w:ind w:firstLine="640" w:firstLineChars="200"/>
        <w:jc w:val="left"/>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tbl>
      <w:tblPr>
        <w:tblStyle w:val="15"/>
        <w:tblW w:w="947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246"/>
        <w:gridCol w:w="3341"/>
        <w:gridCol w:w="2883"/>
        <w:gridCol w:w="10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908"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246"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341"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883"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095" w:type="dxa"/>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8" w:type="dxa"/>
            <w:vAlign w:val="center"/>
          </w:tcPr>
          <w:p>
            <w:pPr>
              <w:adjustRightInd w:val="0"/>
              <w:snapToGrid w:val="0"/>
              <w:ind w:left="21" w:leftChars="10" w:right="21" w:rightChars="10"/>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1</w:t>
            </w:r>
          </w:p>
        </w:tc>
        <w:tc>
          <w:tcPr>
            <w:tcW w:w="1246" w:type="dxa"/>
            <w:vAlign w:val="center"/>
          </w:tcPr>
          <w:p>
            <w:pPr>
              <w:spacing w:line="36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spacing w:line="360" w:lineRule="exact"/>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初识智能运输运营</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1.智能运输运营的概念和运输方式分类；</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2.物流运输企业及物流运输企业设备与设施；</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3.智能运输运营中涉及的当事人。</w:t>
            </w:r>
          </w:p>
          <w:p>
            <w:pPr>
              <w:keepNext w:val="0"/>
              <w:keepLines w:val="0"/>
              <w:pageBreakBefore w:val="0"/>
              <w:wordWrap/>
              <w:overflowPunct/>
              <w:topLinePunct w:val="0"/>
              <w:bidi w:val="0"/>
              <w:spacing w:line="320" w:lineRule="exact"/>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掌握智能运输运营的概念；</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kern w:val="0"/>
                <w:szCs w:val="21"/>
                <w:lang w:bidi="ar"/>
              </w:rPr>
              <w:t>2.掌握运输作业的各种方式和基本环节。</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1.参观物流运输企业或观看录像，体验物流运输系统的实际应用、运行及其重要地位，撰写一篇观后感，引导学生产生行业自豪感；</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2.利用多媒体或视频，学习物流运输作业中的设施与设备；</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3.利用案例教学法，并结合教学视频，熟悉运输作业中各当事人，学习货物运输的各种方式和基本环节。</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方正仿宋_GB2312" w:eastAsia="仿宋_GB2312" w:cs="方正仿宋_GB2312"/>
                <w:kern w:val="0"/>
                <w:szCs w:val="21"/>
              </w:rPr>
              <w:t xml:space="preserve"> </w:t>
            </w:r>
            <w:r>
              <w:rPr>
                <w:rFonts w:hint="eastAsia" w:ascii="仿宋_GB2312" w:hAnsi="仿宋_GB2312" w:eastAsia="仿宋_GB2312" w:cs="仿宋_GB2312"/>
                <w:kern w:val="0"/>
                <w:szCs w:val="21"/>
                <w:lang w:bidi="ar"/>
              </w:rPr>
              <w:t>2</w:t>
            </w:r>
          </w:p>
        </w:tc>
        <w:tc>
          <w:tcPr>
            <w:tcW w:w="1246" w:type="dxa"/>
            <w:vAlign w:val="center"/>
          </w:tcPr>
          <w:p>
            <w:pPr>
              <w:spacing w:line="36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spacing w:line="36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公路运输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1.公路货物运输的特点及运营方式和公路行业市场以及网络货运服务流程；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2.制定公路运输运价需考虑的因素和运费的计算；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3.托运人委托公路货物运输的方法与流程。</w:t>
            </w:r>
          </w:p>
          <w:p>
            <w:pPr>
              <w:keepNext w:val="0"/>
              <w:keepLines w:val="0"/>
              <w:pageBreakBefore w:val="0"/>
              <w:wordWrap/>
              <w:overflowPunct/>
              <w:topLinePunct w:val="0"/>
              <w:bidi w:val="0"/>
              <w:spacing w:line="320" w:lineRule="exact"/>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1.熟悉公路货物运输的特点及运营方式；</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2.掌握制定公路运输运价需考虑的因素和运费的计算；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s="宋体"/>
                <w:color w:val="000000"/>
                <w:szCs w:val="21"/>
              </w:rPr>
            </w:pPr>
            <w:r>
              <w:rPr>
                <w:rFonts w:hint="eastAsia" w:ascii="仿宋_GB2312" w:hAnsi="仿宋_GB2312" w:eastAsia="仿宋_GB2312" w:cs="仿宋_GB2312"/>
                <w:kern w:val="0"/>
                <w:szCs w:val="21"/>
                <w:lang w:bidi="ar"/>
              </w:rPr>
              <w:t>3.熟悉甩挂运输的基本作业流程，能够办理甩挂运输组织作业。</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1.教师播放公路运输图片，来学习了解公路运输的特征、运营方式及相关行业信息；</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2.结合案例资料，由教师进行演示教学，学生模拟练习制定公路运输运价需考虑的因素和运费的计算；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3.结合案例资料，用角色扮演法，选择不同的运输方法模拟进行货物委托运输的流程。</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908" w:type="dxa"/>
            <w:vAlign w:val="center"/>
          </w:tcPr>
          <w:p>
            <w:pPr>
              <w:adjustRightInd w:val="0"/>
              <w:snapToGrid w:val="0"/>
              <w:ind w:left="21" w:leftChars="10" w:right="21" w:rightChars="10" w:firstLine="210" w:firstLineChars="100"/>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3</w:t>
            </w:r>
          </w:p>
        </w:tc>
        <w:tc>
          <w:tcPr>
            <w:tcW w:w="1246" w:type="dxa"/>
            <w:vAlign w:val="center"/>
          </w:tcPr>
          <w:p>
            <w:pPr>
              <w:spacing w:line="38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spacing w:line="38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铁路运输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1.铁路货物运输的特点及运营方式和铁路承运人对货物托运和运输形式的限定；</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2.铁路货物运输计划的编制及提报；</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3.铁路货物运输相关的条款。</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1.熟悉铁路货物运输的特点及运营方式；</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2.掌握制定铁路运输运价需考虑的因素和运费的计算。</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1.浏览中国铁路12306官网，初步了解铁路运输的特征及运营方式；</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2.结合案例资料，由教师进行演示，学生模拟练习制定铁路运输运价需考虑的因素和运费的计算；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3.结合案例资料，用角色扮演法进行货物运输计划的编制和提报。</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方正仿宋_GB2312" w:eastAsia="仿宋_GB2312" w:cs="方正仿宋_GB2312"/>
                <w:kern w:val="0"/>
                <w:szCs w:val="21"/>
              </w:rPr>
              <w:t xml:space="preserve"> </w:t>
            </w:r>
            <w:r>
              <w:rPr>
                <w:rFonts w:hint="eastAsia" w:ascii="仿宋_GB2312" w:hAnsi="仿宋_GB2312" w:eastAsia="仿宋_GB2312" w:cs="仿宋_GB2312"/>
                <w:kern w:val="0"/>
                <w:szCs w:val="21"/>
                <w:lang w:bidi="ar"/>
              </w:rPr>
              <w:t>4</w:t>
            </w:r>
          </w:p>
        </w:tc>
        <w:tc>
          <w:tcPr>
            <w:tcW w:w="1246" w:type="dxa"/>
            <w:vAlign w:val="center"/>
          </w:tcPr>
          <w:p>
            <w:pPr>
              <w:spacing w:line="38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项目四</w:t>
            </w:r>
          </w:p>
          <w:p>
            <w:pPr>
              <w:spacing w:line="38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水路运输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1.水路货物运输的特点及运营方式；</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2.水路货物运输涉及的当事人及相关服务；</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3.制定水路运输运价需考虑的因素和运费的计算。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1.熟悉水路货物运输特点及运营方式；</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2.掌握水路货物运输作业流程。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1.观看中国远洋海运集团宣传片，初步了解水路运输的特征及运营方式；</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2.结合案例资料，用角色扮演法，以承运人、船务代理、货运代理的身份分别展示各自的服务及相关工作；</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3.结合案例资料，由教师进行演示，学生模拟练习制定水路运输运价需考虑的因素和运费的计算。</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方正仿宋_GB2312" w:eastAsia="仿宋_GB2312" w:cs="方正仿宋_GB2312"/>
                <w:kern w:val="0"/>
                <w:szCs w:val="21"/>
              </w:rPr>
              <w:t xml:space="preserve"> </w:t>
            </w:r>
            <w:r>
              <w:rPr>
                <w:rFonts w:hint="eastAsia" w:ascii="仿宋_GB2312" w:hAnsi="仿宋_GB2312" w:eastAsia="仿宋_GB2312" w:cs="仿宋_GB2312"/>
                <w:kern w:val="0"/>
                <w:szCs w:val="21"/>
                <w:lang w:bidi="ar"/>
              </w:rPr>
              <w:t>5</w:t>
            </w:r>
          </w:p>
        </w:tc>
        <w:tc>
          <w:tcPr>
            <w:tcW w:w="1246" w:type="dxa"/>
            <w:vAlign w:val="center"/>
          </w:tcPr>
          <w:p>
            <w:pPr>
              <w:spacing w:line="38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项目五</w:t>
            </w:r>
          </w:p>
          <w:p>
            <w:pPr>
              <w:spacing w:line="38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航空运输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1.航空货物运输优势及局限性；</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2.航空货运代理的作用、空运货物重货和泡货的界定；</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3.制定航空运输运价需考虑的因素和运费的计算。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1.掌握国内国际航空货物运输操作流程；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kern w:val="0"/>
                <w:szCs w:val="21"/>
                <w:lang w:bidi="ar"/>
              </w:rPr>
              <w:t>2.掌握制定航空运输运价需考虑的因素和运费的计算。</w:t>
            </w:r>
          </w:p>
        </w:tc>
        <w:tc>
          <w:tcPr>
            <w:tcW w:w="2883" w:type="dxa"/>
            <w:vAlign w:val="center"/>
          </w:tcPr>
          <w:p>
            <w:pPr>
              <w:keepNext w:val="0"/>
              <w:keepLines w:val="0"/>
              <w:pageBreakBefore w:val="0"/>
              <w:wordWrap/>
              <w:overflowPunct/>
              <w:topLinePunct w:val="0"/>
              <w:bidi w:val="0"/>
              <w:spacing w:line="320" w:lineRule="exact"/>
              <w:rPr>
                <w:rFonts w:ascii="仿宋_GB2312" w:hAnsi="Calibri" w:eastAsia="仿宋_GB2312"/>
                <w:color w:val="000000"/>
                <w:szCs w:val="21"/>
              </w:rPr>
            </w:pPr>
            <w:r>
              <w:rPr>
                <w:rFonts w:hint="eastAsia" w:ascii="仿宋_GB2312" w:hAnsi="仿宋_GB2312" w:eastAsia="仿宋_GB2312" w:cs="仿宋_GB2312"/>
                <w:kern w:val="0"/>
                <w:szCs w:val="21"/>
                <w:lang w:bidi="ar"/>
              </w:rPr>
              <w:t>1.浏览DHL官网国际空运业务，了解航空货物运输的特点以及</w:t>
            </w:r>
            <w:r>
              <w:rPr>
                <w:rFonts w:hint="eastAsia" w:ascii="仿宋_GB2312" w:hAnsi="Calibri" w:eastAsia="仿宋_GB2312"/>
                <w:color w:val="000000"/>
                <w:szCs w:val="21"/>
              </w:rPr>
              <w:t>航空货运代理的作用；</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2.用多媒体并结合案例资料，由教师进行演示，学生分组模拟进行国内国际航空货物运输操作流程的学习；</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3.结合案例资料，由教师进行演示，学生模拟练习制定航空运输运价需考虑的因素和运费的计算。</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方正仿宋_GB2312" w:eastAsia="仿宋_GB2312" w:cs="方正仿宋_GB2312"/>
                <w:kern w:val="0"/>
                <w:szCs w:val="21"/>
              </w:rPr>
              <w:t xml:space="preserve"> </w:t>
            </w:r>
            <w:r>
              <w:rPr>
                <w:rFonts w:hint="eastAsia" w:ascii="仿宋_GB2312" w:hAnsi="仿宋_GB2312" w:eastAsia="仿宋_GB2312" w:cs="仿宋_GB2312"/>
                <w:kern w:val="0"/>
                <w:szCs w:val="21"/>
                <w:lang w:bidi="ar"/>
              </w:rPr>
              <w:t>6</w:t>
            </w:r>
          </w:p>
        </w:tc>
        <w:tc>
          <w:tcPr>
            <w:tcW w:w="1246" w:type="dxa"/>
            <w:vAlign w:val="center"/>
          </w:tcPr>
          <w:p>
            <w:pPr>
              <w:spacing w:line="36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项目六</w:t>
            </w:r>
          </w:p>
          <w:p>
            <w:pPr>
              <w:spacing w:line="36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管道运输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1.管道运输系统的主要设施设备和管道运输的工艺；</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2.管道运输基本工作原理和使用范围；</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3.管道运输的管理内容。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掌握管道运输基本工作原理和使用范围。</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1.播放西气东输视频，由教师对管道运输的主要设备和基本原理进行介绍和讲解，彰显大国自信；</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2.进行实训，将学生进行分组，通过对石油库、天燃气供应公司等进行实际调查，使学生感性接触管道运输相关的设施设备，进一步了解其安全管理的重要性，并以小组为单位写出调查分析报告。</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方正仿宋_GB2312" w:eastAsia="仿宋_GB2312" w:cs="方正仿宋_GB2312"/>
                <w:kern w:val="0"/>
                <w:szCs w:val="21"/>
              </w:rPr>
              <w:t xml:space="preserve"> </w:t>
            </w:r>
            <w:r>
              <w:rPr>
                <w:rFonts w:hint="eastAsia" w:ascii="仿宋_GB2312" w:hAnsi="仿宋_GB2312" w:eastAsia="仿宋_GB2312" w:cs="仿宋_GB2312"/>
                <w:kern w:val="0"/>
                <w:szCs w:val="21"/>
                <w:lang w:bidi="ar"/>
              </w:rPr>
              <w:t>7</w:t>
            </w:r>
          </w:p>
        </w:tc>
        <w:tc>
          <w:tcPr>
            <w:tcW w:w="1246" w:type="dxa"/>
            <w:vAlign w:val="center"/>
          </w:tcPr>
          <w:p>
            <w:pPr>
              <w:spacing w:line="36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项目七</w:t>
            </w:r>
          </w:p>
          <w:p>
            <w:pPr>
              <w:spacing w:line="36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运输保险与索赔作业</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1.运输保险的种类和险别；</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2.运输保险的投保程序；</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3.运输保险的索赔和理赔流程；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4.投保单和保险单的主要内容；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5.能根据不同业务完成运输保险投保业务；</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6.能办理或协助当事人办理运输保险索赔业务。</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numPr>
                <w:ilvl w:val="0"/>
                <w:numId w:val="5"/>
              </w:numPr>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掌握运输保险的种类和险别；</w:t>
            </w:r>
          </w:p>
          <w:p>
            <w:pPr>
              <w:keepNext w:val="0"/>
              <w:keepLines w:val="0"/>
              <w:pageBreakBefore w:val="0"/>
              <w:widowControl/>
              <w:numPr>
                <w:ilvl w:val="0"/>
                <w:numId w:val="5"/>
              </w:numPr>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掌握运输保险的投保程序。</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1.教师分享运输保险案例，对运输保险投保、运输保险索赔与理赔主要知识点进行介绍和讲解；</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2.进行实训，将学生进行分组，通过对实际案例进行流程分析，使学生熟练掌握运输保险业务的办理流程以及运输保险索赔流程。</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0"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方正仿宋_GB2312" w:eastAsia="仿宋_GB2312" w:cs="方正仿宋_GB2312"/>
                <w:kern w:val="0"/>
                <w:szCs w:val="21"/>
              </w:rPr>
              <w:t xml:space="preserve"> </w:t>
            </w:r>
            <w:r>
              <w:rPr>
                <w:rFonts w:hint="eastAsia" w:ascii="仿宋_GB2312" w:hAnsi="仿宋_GB2312" w:eastAsia="仿宋_GB2312" w:cs="仿宋_GB2312"/>
                <w:kern w:val="0"/>
                <w:szCs w:val="21"/>
                <w:lang w:bidi="ar"/>
              </w:rPr>
              <w:t>8</w:t>
            </w:r>
          </w:p>
        </w:tc>
        <w:tc>
          <w:tcPr>
            <w:tcW w:w="1246" w:type="dxa"/>
            <w:vAlign w:val="center"/>
          </w:tcPr>
          <w:p>
            <w:pPr>
              <w:spacing w:line="36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项目八</w:t>
            </w:r>
          </w:p>
          <w:p>
            <w:pPr>
              <w:spacing w:line="36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危险品运输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1.危险品的分类和运输装卸规程、特征和技术装备；</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2.危险品运输的相关手续；</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3.危险品运输费用。</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熟悉危险品的分类和运输装卸规程、特征和技术装备；</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能根据规程操作化工危险品的运输，掌握安全管理知识；</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能根据危险品的类项种类选择运输、装卸工具及运输路线。</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1.通过参观危险品运输企业或观看录像，体验危险品运输业务流程；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2.模拟办理危险品运输相关货物的装卸与交接手续；</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3.根据危险品相关资料，模拟办理化工危险品运输的手续；</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4.根据相关资料进行危险品运价概算。</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0"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 xml:space="preserve"> 9</w:t>
            </w:r>
          </w:p>
        </w:tc>
        <w:tc>
          <w:tcPr>
            <w:tcW w:w="1246" w:type="dxa"/>
            <w:vAlign w:val="center"/>
          </w:tcPr>
          <w:p>
            <w:pPr>
              <w:spacing w:line="36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项目九</w:t>
            </w:r>
          </w:p>
          <w:p>
            <w:pPr>
              <w:spacing w:line="36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鲜活品运输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1.鲜活品运输类型、特征和技术装备；</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2.鲜活品的特征合理选择特殊设备及设置运输标志；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3.鲜活品合理的运输方式、运输线路、运输时间；</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4.鲜活品运输综合费用。</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熟悉鲜活品运输类型、特征和技术装备。</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1.播放冷链物流中鲜活品运输情视频，体验鲜活品运输业务流程；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2.结合案例资料，由教师进行演示，学生模拟练习鲜活品运价计算；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3.根据鲜活品相关资料，模拟办理鲜活品运输的手续；</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4.模拟办理鲜活品运输的装卸与交接手续。</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0"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 xml:space="preserve"> 10</w:t>
            </w:r>
          </w:p>
        </w:tc>
        <w:tc>
          <w:tcPr>
            <w:tcW w:w="1246" w:type="dxa"/>
            <w:vAlign w:val="center"/>
          </w:tcPr>
          <w:p>
            <w:pPr>
              <w:spacing w:line="36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项目十</w:t>
            </w:r>
          </w:p>
          <w:p>
            <w:pPr>
              <w:spacing w:line="36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易碎物品运输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1.易碎物品运输类型、特征和技术装备；易碎物品的特征合理选择相应的包装材料；</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2.特殊包装的标准进行操作；</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3.易碎物品运输要求选择合适的运输方式、装卸工具和合理的运输路线；</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5．结算易碎物品运输综合费用。</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1.会按照易碎物品的特征合理选择相应的包装材料；</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2.会结算易碎物品运输综合费用。</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1.参观易碎物品运输情境或观看录像，体验易碎物品运输业务流程；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2.结合案例资料，由教师进行演示，学生模拟练习易碎物品运价计算；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3.根据易碎物品相关资料，办理易碎物品运输的手续；</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4.模拟办理易碎物品运输的装卸与交接手续。</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8" w:type="dxa"/>
            <w:vAlign w:val="center"/>
          </w:tcPr>
          <w:p>
            <w:pPr>
              <w:adjustRightInd w:val="0"/>
              <w:snapToGrid w:val="0"/>
              <w:ind w:left="21" w:leftChars="10" w:right="21" w:rightChars="10"/>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 xml:space="preserve"> 11</w:t>
            </w:r>
          </w:p>
        </w:tc>
        <w:tc>
          <w:tcPr>
            <w:tcW w:w="1246" w:type="dxa"/>
            <w:vAlign w:val="center"/>
          </w:tcPr>
          <w:p>
            <w:pPr>
              <w:spacing w:line="360" w:lineRule="exact"/>
              <w:ind w:left="21" w:leftChars="10" w:right="21" w:rightChars="1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项目十一</w:t>
            </w:r>
          </w:p>
          <w:p>
            <w:pPr>
              <w:spacing w:line="360" w:lineRule="exact"/>
              <w:ind w:left="21" w:leftChars="10" w:right="21" w:rightChars="10"/>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大件运输</w:t>
            </w:r>
          </w:p>
        </w:tc>
        <w:tc>
          <w:tcPr>
            <w:tcW w:w="3341"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1.熟悉大件运输类型、特征和技术装备；</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 xml:space="preserve">2.编写大件货物运输的运输要求与工作说明书及大件托运单； </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3.了解大件物品运输方式、装卸工具及运输路线选择的方法。</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 xml:space="preserve">1.会与承运方一起查看货物和运输现场的条件； </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2.会结算大件运输综合费用。</w:t>
            </w:r>
          </w:p>
        </w:tc>
        <w:tc>
          <w:tcPr>
            <w:tcW w:w="2883"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1.邀请德邦物流业务员进行企业导师授课，体验大件运输业务流程；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2.结合案例资料，由教师进行演示，学生模拟练习大件物品运价计算；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3.模拟办理大件运输的装卸与交接手续。</w:t>
            </w:r>
          </w:p>
        </w:tc>
        <w:tc>
          <w:tcPr>
            <w:tcW w:w="1095" w:type="dxa"/>
            <w:vAlign w:val="center"/>
          </w:tcPr>
          <w:p>
            <w:pPr>
              <w:adjustRightInd w:val="0"/>
              <w:snapToGrid w:val="0"/>
              <w:ind w:left="21" w:leftChars="10" w:right="21" w:rightChars="1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立足于加强学生实际操作能力的培养，紧密结合职业技能证书的考核，坚持校企合作、工学结合的人才培养模式。可采用模拟情境、案例分析、任务驱动、实际训练、实地参观等方法开展教学。</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充分利用现代化教学技术，配合实物教学设备、多媒体教学课件、数字化资源等手段，从学生实际出发，以具体运输方式和特殊货物为依据进行教学设计，教、学、做结合，理论与实践一体化，灵活运用理论讲授、理论知识运用、案例分析、角色扮演、实战体验并行的授课方式，使学生在学中做、做中学，以求达到最佳的学习效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坚持用多元评价方式，注重对学生学习态度、思维能力、动手能力、解决问题能力等方面进行综合考核，客观评价学生的学习情况。</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（1）以学习目标为评价标准，坚持用多元评价方式引导学生形成个性化的学习方式，养成良好的学习习惯。</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（2）教学效果评价重点评价学习者的职业发展能力和后续学习能力；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（3）考核方式采用过程评价与结果评价相结合、能力评价与职业素养评价相结合的评价方式，按照百分制进行考核。过程考核占60%，考核占40%。</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（1）课堂教学条件：多媒体教室、多媒体教学资料等。</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（2）实习实训条件</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智能运输运营实训室能开展智能运输运营业务等生产型实训活动，实训设施齐备，实训岗位配备实训指导教师，实训管理及实施规章制度齐全。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企业实习基地应提供智能运输运营相关实习岗位，按照师生比1：10以内配备相应数量的指导教师，对实习学生进行指导和管理，并具有完善的企业导师管理制度以及绩效考核办法。能为实习生活、工作、学习提供安全卫生的基本设施，具有完善的实习生管理规章制度，为实习生提供保险保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教师教学一般依据专业教学标准的相关课程要求、课程标准、教材来组织教学内容。教材原则上需从国家和省市发布的省级以上规划教材目录中选用。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所用教材的编写需深度贯彻习近平新时代中国特色社会主义，弘扬社会主义核心价值观，积极落实二十大精神，及时引进行业企业新理念、新技术、新设备、新模式等。</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教材形式应图文并茂，尽量多采用图片、流程图等，语言生动，版式活泼，符合中职学生的学习特点。</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为激发学生的学习兴趣，应创设形象生动的教学情境，尽可能采用现代化教学手段，鼓励学校通过购买、检索、校企合作或者自主研发多媒体课件、音视频、图谱、实物教具、试题库、竞赛方案、电子教案等数字化教学资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w:t>
      </w:r>
      <w:r>
        <w:rPr>
          <w:rFonts w:ascii="仿宋_GB2312" w:hAnsi="仿宋_GB2312" w:eastAsia="仿宋_GB2312" w:cs="仿宋_GB2312"/>
          <w:sz w:val="32"/>
          <w:szCs w:val="32"/>
          <w:lang w:bidi="ar"/>
        </w:rPr>
        <w:t>.</w:t>
      </w:r>
      <w:r>
        <w:rPr>
          <w:rFonts w:hint="eastAsia" w:ascii="仿宋_GB2312" w:hAnsi="仿宋_GB2312" w:eastAsia="仿宋_GB2312" w:cs="仿宋_GB2312"/>
          <w:sz w:val="32"/>
          <w:szCs w:val="32"/>
          <w:lang w:bidi="ar"/>
        </w:rPr>
        <w:t>授课进程建议表</w:t>
      </w:r>
    </w:p>
    <w:tbl>
      <w:tblPr>
        <w:tblStyle w:val="29"/>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015"/>
        <w:gridCol w:w="1275"/>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5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23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智能运输运营的概念、运输方式分类</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物流运输企业及物流运输企业设备与设施</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运输作业的各种方式和基本环节</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5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公路运输运价需考虑的因素和运费的计算</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托运人委托公路货物运输的方法与流程</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案例教学，分组演示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制定铁路运输运价需考虑的因素和运费的计算</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铁路货物运输相关的条款、水路货物运输特点</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水路运输运价需考虑的因素和运费的计算</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案例教学，分组演示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水路货物运输作业流程、航空货物运输优势及局限性</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案例教学，分组演示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航空货运代理作用、国内国际航空货物运输操作流程</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制定航空运输运价需考虑的因素和运费的计算</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管道运输基本工作原理和使用范围、管理内容</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运输保险的种类和险别、运输保险的投保程序</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危险品的分类和运输装卸规程、特征和技术装备</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危险品的类项种类选择运输、装卸工具及运输路线</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鲜活品运输类型、特征和技术装备、运输综合费用</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易碎物品运输类型、特征和装备、相应的包装材料</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5015" w:type="dxa"/>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大件运输类型、特征和装备、货物和运输现场的条件</w:t>
            </w:r>
          </w:p>
        </w:tc>
        <w:tc>
          <w:tcPr>
            <w:tcW w:w="127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235"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bl>
    <w:p>
      <w:pPr>
        <w:snapToGrid w:val="0"/>
        <w:spacing w:before="120" w:beforeLines="50" w:after="120" w:afterLines="50" w:line="580" w:lineRule="exact"/>
        <w:rPr>
          <w:rFonts w:ascii="方正小标宋简体" w:hAnsi="方正小标宋简体" w:eastAsia="方正小标宋简体" w:cs="方正小标宋简体"/>
          <w:sz w:val="32"/>
          <w:szCs w:val="32"/>
        </w:rPr>
      </w:pPr>
    </w:p>
    <w:p>
      <w:pPr>
        <w:widowControl/>
        <w:jc w:val="left"/>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after="120" w:afterLines="50" w:line="56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仓储与配送实务课程标准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widowControl/>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kern w:val="0"/>
          <w:sz w:val="32"/>
          <w:szCs w:val="32"/>
          <w:lang w:bidi="ar"/>
        </w:rPr>
        <w:t>本课程是物流服务与管理专业的一门专业核心课程。通过学习仓储与配送作业流程与业务运营管理技术、智慧化仓库运行的基本流程与作业规范等专业知识，使学生能够掌握仓储配送的发展历程以及智慧化储配技术的新趋势、仓储与配送的相关概念和业务流程及操作技能、物流业的整体认识；具有优化仓储运行的基本流程与作业规范等专业知识、配送过程的运营与管理能力，能开展出入库作业、在库管理、响应客户服务，培养学生的职业道德和工匠精神，提高学生综合素质和职业能力，为学生后续其他专业课程的学习打下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（2）具备创新意识和科学探索的精神和持续学习的意愿；</w:t>
      </w:r>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（3）具备劳动精神、劳模精神、工匠精神，锻炼不畏艰难的意志，养成良好的社会公德和职业道德，有较强的社会主义民主和法制观念；</w:t>
      </w:r>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（4）积极践行5S理念，有较强的责任感、自信心、人际交流能力，富有团队合作精神，社会适应力强；</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（5）具有良好的安全生产、节能环保等职业意识；</w:t>
      </w:r>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（6）具备仓管配送员的基本职业素养，有明显的成本意识、环保理念、客户服务思想和大数据思维，适应物流行业企业未来发展的趋势。</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w:t>
      </w:r>
      <w:bookmarkStart w:id="5" w:name="_Hlk154563591"/>
      <w:r>
        <w:rPr>
          <w:rFonts w:hint="eastAsia" w:ascii="仿宋_GB2312" w:hAnsi="仿宋_GB2312" w:eastAsia="仿宋_GB2312" w:cs="仿宋_GB2312"/>
          <w:kern w:val="0"/>
          <w:sz w:val="32"/>
          <w:szCs w:val="32"/>
          <w:lang w:bidi="ar"/>
        </w:rPr>
        <w:t>掌握仓库布置的方法、设备类型选用及数量计算；</w:t>
      </w:r>
      <w:bookmarkEnd w:id="5"/>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bookmarkStart w:id="6" w:name="_Hlk154563598"/>
      <w:r>
        <w:rPr>
          <w:rFonts w:hint="eastAsia" w:ascii="仿宋_GB2312" w:hAnsi="仿宋_GB2312" w:eastAsia="仿宋_GB2312" w:cs="仿宋_GB2312"/>
          <w:kern w:val="0"/>
          <w:sz w:val="32"/>
          <w:szCs w:val="32"/>
          <w:lang w:bidi="ar"/>
        </w:rPr>
        <w:t>掌握入库作业流程和设备的使用方法；</w:t>
      </w:r>
      <w:bookmarkEnd w:id="6"/>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（3）掌握在库作业流程和设备的使用方法；</w:t>
      </w:r>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w:t>
      </w:r>
      <w:bookmarkStart w:id="7" w:name="_Hlk154563621"/>
      <w:r>
        <w:rPr>
          <w:rFonts w:hint="eastAsia" w:ascii="仿宋_GB2312" w:hAnsi="仿宋_GB2312" w:eastAsia="仿宋_GB2312" w:cs="仿宋_GB2312"/>
          <w:kern w:val="0"/>
          <w:sz w:val="32"/>
          <w:szCs w:val="32"/>
          <w:lang w:bidi="ar"/>
        </w:rPr>
        <w:t>掌握出库作业流程和设备的使用方法</w:t>
      </w:r>
      <w:bookmarkEnd w:id="7"/>
      <w:r>
        <w:rPr>
          <w:rFonts w:hint="eastAsia" w:ascii="仿宋_GB2312" w:hAnsi="仿宋_GB2312" w:eastAsia="仿宋_GB2312" w:cs="仿宋_GB2312"/>
          <w:kern w:val="0"/>
          <w:sz w:val="32"/>
          <w:szCs w:val="32"/>
          <w:lang w:bidi="ar"/>
        </w:rPr>
        <w:t>；</w:t>
      </w:r>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（5）掌握仓库选址、库存管理、配送业务运营原理和工作流程。</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3.能力目标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（1）具有仓库动线规划、空间布局、各类设备配置的能力；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（2）具有完成货物进出存作业、安全管理、异常情况处理的能力；</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（3）具有操作智能化物流设施设备和物流系统的能力；</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（4）具备利用包装技术手段收集、处理以及管理物流商品的能力，能够熟练使用常用包装技术保障商品质量；</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（5）具有熟练操作WMS系统进行客户维护、出入库制单、报表查询等仓储管理工作的能力；</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（6）具有根据具体要求补货及拣货作业的操作和管理能力；</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7</w:t>
      </w:r>
      <w:r>
        <w:rPr>
          <w:rFonts w:hint="eastAsia" w:ascii="仿宋_GB2312" w:hAnsi="仿宋_GB2312" w:eastAsia="仿宋_GB2312" w:cs="仿宋_GB2312"/>
          <w:sz w:val="32"/>
          <w:szCs w:val="32"/>
          <w:lang w:bidi="ar"/>
        </w:rPr>
        <w:t>）能够具备能根据具体要求进行补货及拣货、盘点作业的操作和管理的能力；</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8</w:t>
      </w:r>
      <w:r>
        <w:rPr>
          <w:rFonts w:hint="eastAsia" w:ascii="仿宋_GB2312" w:hAnsi="仿宋_GB2312" w:eastAsia="仿宋_GB2312" w:cs="仿宋_GB2312"/>
          <w:sz w:val="32"/>
          <w:szCs w:val="32"/>
          <w:lang w:bidi="ar"/>
        </w:rPr>
        <w:t>）能够具有熟练操作自动化和智能设备完成出库作业的能力，物流设施设备操作、调试、故障排查与运行维护的能力；</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9</w:t>
      </w:r>
      <w:r>
        <w:rPr>
          <w:rFonts w:hint="eastAsia" w:ascii="仿宋_GB2312" w:hAnsi="仿宋_GB2312" w:eastAsia="仿宋_GB2312" w:cs="仿宋_GB2312"/>
          <w:sz w:val="32"/>
          <w:szCs w:val="32"/>
          <w:lang w:bidi="ar"/>
        </w:rPr>
        <w:t>）能够具有对配送车辆进行调度和管理的能力；</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10</w:t>
      </w:r>
      <w:r>
        <w:rPr>
          <w:rFonts w:hint="eastAsia" w:ascii="仿宋_GB2312" w:hAnsi="仿宋_GB2312" w:eastAsia="仿宋_GB2312" w:cs="仿宋_GB2312"/>
          <w:sz w:val="32"/>
          <w:szCs w:val="32"/>
          <w:lang w:bidi="ar"/>
        </w:rPr>
        <w:t>）能够具有返品作业的操作和能力。</w:t>
      </w:r>
    </w:p>
    <w:p>
      <w:pPr>
        <w:autoSpaceDE w:val="0"/>
        <w:adjustRightInd w:val="0"/>
        <w:snapToGrid w:val="0"/>
        <w:spacing w:line="560" w:lineRule="exact"/>
        <w:ind w:firstLine="640" w:firstLineChars="200"/>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ascii="仿宋_GB2312" w:hAnsi="仿宋_GB2312" w:eastAsia="仿宋_GB2312" w:cs="仿宋_GB2312"/>
          <w:sz w:val="32"/>
          <w:szCs w:val="32"/>
          <w:lang w:bidi="ar"/>
        </w:rPr>
        <w:t>72</w:t>
      </w:r>
      <w:r>
        <w:rPr>
          <w:rFonts w:hint="eastAsia" w:ascii="仿宋_GB2312" w:hAnsi="仿宋_GB2312" w:eastAsia="仿宋_GB2312" w:cs="仿宋_GB2312"/>
          <w:sz w:val="32"/>
          <w:szCs w:val="32"/>
          <w:lang w:bidi="ar"/>
        </w:rPr>
        <w:t>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ascii="仿宋_GB2312" w:hAnsi="仿宋_GB2312" w:eastAsia="仿宋_GB2312" w:cs="仿宋_GB2312"/>
          <w:sz w:val="32"/>
          <w:szCs w:val="32"/>
          <w:lang w:bidi="ar"/>
        </w:rPr>
        <w:t>4</w:t>
      </w:r>
      <w:r>
        <w:rPr>
          <w:rFonts w:hint="eastAsia" w:ascii="仿宋_GB2312" w:hAnsi="仿宋_GB2312" w:eastAsia="仿宋_GB2312" w:cs="仿宋_GB2312"/>
          <w:sz w:val="32"/>
          <w:szCs w:val="32"/>
          <w:lang w:bidi="ar"/>
        </w:rPr>
        <w:t>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tbl>
      <w:tblPr>
        <w:tblStyle w:val="15"/>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34"/>
        <w:gridCol w:w="4085"/>
        <w:gridCol w:w="210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1134"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4085"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210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114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134" w:type="dxa"/>
            <w:tcBorders>
              <w:top w:val="single" w:color="auto" w:sz="4" w:space="0"/>
              <w:left w:val="nil"/>
              <w:bottom w:val="single" w:color="auto" w:sz="4" w:space="0"/>
              <w:right w:val="single" w:color="auto" w:sz="4" w:space="0"/>
            </w:tcBorders>
            <w:vAlign w:val="center"/>
          </w:tcPr>
          <w:p>
            <w:pPr>
              <w:spacing w:line="400" w:lineRule="exact"/>
              <w:jc w:val="center"/>
              <w:rPr>
                <w:rFonts w:ascii="仿宋_GB2312" w:hAnsi="Calibri" w:eastAsia="仿宋_GB2312"/>
                <w:b/>
                <w:bCs/>
                <w:color w:val="000000"/>
                <w:szCs w:val="21"/>
              </w:rPr>
            </w:pPr>
            <w:r>
              <w:rPr>
                <w:rFonts w:hint="eastAsia" w:ascii="仿宋_GB2312" w:hAnsi="Calibri" w:eastAsia="仿宋_GB2312"/>
                <w:b/>
                <w:bCs/>
                <w:color w:val="000000"/>
                <w:szCs w:val="21"/>
              </w:rPr>
              <w:t>项目一</w:t>
            </w:r>
          </w:p>
          <w:p>
            <w:pPr>
              <w:spacing w:line="400" w:lineRule="exact"/>
              <w:jc w:val="center"/>
              <w:rPr>
                <w:rFonts w:ascii="仿宋_GB2312" w:hAnsi="仿宋_GB2312" w:eastAsia="仿宋_GB2312" w:cs="仿宋_GB2312"/>
                <w:kern w:val="0"/>
                <w:szCs w:val="21"/>
                <w:lang w:bidi="ar"/>
              </w:rPr>
            </w:pPr>
            <w:r>
              <w:rPr>
                <w:rFonts w:hint="eastAsia" w:ascii="仿宋_GB2312" w:hAnsi="Calibri" w:eastAsia="仿宋_GB2312"/>
                <w:color w:val="000000"/>
                <w:szCs w:val="21"/>
              </w:rPr>
              <w:t>智慧仓储配送认知</w:t>
            </w:r>
          </w:p>
        </w:tc>
        <w:tc>
          <w:tcPr>
            <w:tcW w:w="408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40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1.掌握仓储的基本概念及性质；</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2.了解仓储功能、仓储的分类及其各自的涵义及区别；</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3.了解仓储业的产生及智慧化发展趋势；</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4.掌握仓储的任务、地位和作用；</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5.了解仓储管理的概念及任务；</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6.掌握仓储管理人员的基本职责。</w:t>
            </w:r>
          </w:p>
          <w:p>
            <w:pPr>
              <w:widowControl/>
              <w:kinsoku w:val="0"/>
              <w:autoSpaceDE w:val="0"/>
              <w:autoSpaceDN w:val="0"/>
              <w:adjustRightInd w:val="0"/>
              <w:snapToGrid w:val="0"/>
              <w:spacing w:line="40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1.能够了解仓储的基本概念及性质；</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2.掌握仓储的任务、地位和作用；</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3.理解仓储管理的概念及任务。</w:t>
            </w:r>
          </w:p>
          <w:p>
            <w:pPr>
              <w:spacing w:line="400" w:lineRule="exact"/>
              <w:rPr>
                <w:rFonts w:ascii="仿宋_GB2312" w:hAnsi="Calibri" w:eastAsia="仿宋_GB2312"/>
                <w:color w:val="000000"/>
                <w:szCs w:val="21"/>
              </w:rPr>
            </w:pPr>
          </w:p>
          <w:p>
            <w:pPr>
              <w:spacing w:line="400" w:lineRule="exact"/>
              <w:rPr>
                <w:rFonts w:ascii="仿宋_GB2312" w:hAnsi="Calibri" w:eastAsia="仿宋_GB2312"/>
                <w:color w:val="000000"/>
                <w:szCs w:val="21"/>
              </w:rPr>
            </w:pPr>
          </w:p>
        </w:tc>
        <w:tc>
          <w:tcPr>
            <w:tcW w:w="2100" w:type="dxa"/>
            <w:tcBorders>
              <w:top w:val="single" w:color="auto" w:sz="4" w:space="0"/>
              <w:left w:val="nil"/>
              <w:bottom w:val="single" w:color="auto" w:sz="4" w:space="0"/>
              <w:right w:val="single" w:color="auto" w:sz="4" w:space="0"/>
            </w:tcBorders>
            <w:vAlign w:val="center"/>
          </w:tcPr>
          <w:p>
            <w:pPr>
              <w:spacing w:line="400" w:lineRule="exact"/>
              <w:rPr>
                <w:rFonts w:ascii="仿宋_GB2312" w:hAnsi="Calibri" w:eastAsia="仿宋_GB2312"/>
                <w:color w:val="000000"/>
                <w:szCs w:val="21"/>
              </w:rPr>
            </w:pPr>
            <w:r>
              <w:rPr>
                <w:rFonts w:hint="eastAsia" w:ascii="仿宋_GB2312" w:hAnsi="Calibri" w:eastAsia="仿宋_GB2312"/>
                <w:color w:val="000000"/>
                <w:szCs w:val="21"/>
              </w:rPr>
              <w:t>1.引入典型企业案例引导学生对仓储与配送行业产生从业情感和职业认同；</w:t>
            </w:r>
          </w:p>
          <w:p>
            <w:pPr>
              <w:spacing w:line="400" w:lineRule="exact"/>
              <w:rPr>
                <w:rFonts w:ascii="仿宋_GB2312" w:hAnsi="Calibri" w:eastAsia="仿宋_GB2312"/>
                <w:color w:val="000000"/>
                <w:szCs w:val="21"/>
              </w:rPr>
            </w:pPr>
            <w:r>
              <w:rPr>
                <w:rFonts w:hint="eastAsia" w:ascii="仿宋_GB2312" w:hAnsi="Calibri" w:eastAsia="仿宋_GB2312"/>
                <w:color w:val="000000"/>
                <w:szCs w:val="21"/>
              </w:rPr>
              <w:t>2.利用多媒体课件和教学视频进行基础理论的学习；</w:t>
            </w:r>
          </w:p>
          <w:p>
            <w:pPr>
              <w:widowControl/>
              <w:kinsoku w:val="0"/>
              <w:autoSpaceDE w:val="0"/>
              <w:autoSpaceDN w:val="0"/>
              <w:adjustRightInd w:val="0"/>
              <w:snapToGrid w:val="0"/>
              <w:spacing w:line="40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3.通过参观仓配中心，更好的认识仓储、配送的基本工作内容、完整业务流程、所涉及到的各个工作岗位及其工作职责。</w:t>
            </w:r>
          </w:p>
        </w:tc>
        <w:tc>
          <w:tcPr>
            <w:tcW w:w="114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Calibri" w:eastAsia="仿宋_GB2312"/>
                <w:b/>
                <w:bCs/>
                <w:color w:val="000000"/>
                <w:szCs w:val="21"/>
              </w:rPr>
            </w:pPr>
            <w:r>
              <w:rPr>
                <w:rFonts w:hint="eastAsia" w:ascii="仿宋_GB2312" w:hAnsi="Calibri" w:eastAsia="仿宋_GB2312"/>
                <w:b/>
                <w:bCs/>
                <w:color w:val="000000"/>
                <w:szCs w:val="21"/>
              </w:rPr>
              <w:t>项目二</w:t>
            </w:r>
          </w:p>
          <w:p>
            <w:pPr>
              <w:spacing w:line="360" w:lineRule="exact"/>
              <w:jc w:val="center"/>
              <w:rPr>
                <w:rFonts w:ascii="仿宋_GB2312" w:hAnsi="Calibri" w:eastAsia="仿宋_GB2312"/>
                <w:color w:val="000000"/>
                <w:szCs w:val="21"/>
              </w:rPr>
            </w:pPr>
            <w:r>
              <w:rPr>
                <w:rFonts w:hint="eastAsia" w:ascii="仿宋_GB2312" w:hAnsi="Calibri" w:eastAsia="仿宋_GB2312"/>
                <w:color w:val="000000"/>
                <w:szCs w:val="21"/>
              </w:rPr>
              <w:t>仓库的</w:t>
            </w:r>
          </w:p>
          <w:p>
            <w:pPr>
              <w:spacing w:line="360" w:lineRule="exact"/>
              <w:jc w:val="center"/>
              <w:rPr>
                <w:rFonts w:ascii="仿宋_GB2312" w:hAnsi="Calibri" w:eastAsia="仿宋_GB2312"/>
                <w:color w:val="000000"/>
                <w:szCs w:val="21"/>
              </w:rPr>
            </w:pPr>
            <w:r>
              <w:rPr>
                <w:rFonts w:hint="eastAsia" w:ascii="仿宋_GB2312" w:hAnsi="Calibri" w:eastAsia="仿宋_GB2312"/>
                <w:color w:val="000000"/>
                <w:szCs w:val="21"/>
              </w:rPr>
              <w:t>布置和</w:t>
            </w:r>
          </w:p>
          <w:p>
            <w:pPr>
              <w:spacing w:line="360" w:lineRule="exact"/>
              <w:jc w:val="center"/>
              <w:rPr>
                <w:rFonts w:ascii="仿宋_GB2312" w:hAnsi="仿宋_GB2312" w:eastAsia="仿宋_GB2312" w:cs="仿宋_GB2312"/>
                <w:kern w:val="0"/>
                <w:szCs w:val="21"/>
                <w:lang w:bidi="ar"/>
              </w:rPr>
            </w:pPr>
            <w:r>
              <w:rPr>
                <w:rFonts w:hint="eastAsia" w:ascii="仿宋_GB2312" w:hAnsi="Calibri" w:eastAsia="仿宋_GB2312"/>
                <w:color w:val="000000"/>
                <w:szCs w:val="21"/>
              </w:rPr>
              <w:t>设备选用</w:t>
            </w:r>
          </w:p>
        </w:tc>
        <w:tc>
          <w:tcPr>
            <w:tcW w:w="408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1.了解仓库的作用和仓库分类；</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2.明确仓库及其结构与布局；</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3.掌握仓库的基本设施、用途和使用原则；</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4.熟悉自动化仓库的基本配置。</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1.理解仓库的作用和仓库分类；</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2.了解仓库及其结构与仓库的布局；</w:t>
            </w:r>
          </w:p>
          <w:p>
            <w:pPr>
              <w:spacing w:line="360" w:lineRule="exact"/>
              <w:rPr>
                <w:rFonts w:ascii="仿宋_GB2312" w:hAnsi="仿宋_GB2312" w:eastAsia="仿宋_GB2312" w:cs="仿宋_GB2312"/>
                <w:kern w:val="0"/>
                <w:szCs w:val="21"/>
              </w:rPr>
            </w:pPr>
            <w:r>
              <w:rPr>
                <w:rFonts w:hint="eastAsia" w:ascii="仿宋_GB2312" w:hAnsi="Calibri" w:eastAsia="仿宋_GB2312"/>
                <w:color w:val="000000"/>
                <w:szCs w:val="21"/>
              </w:rPr>
              <w:t>3.能认识自动化仓库的基本配置。</w:t>
            </w:r>
          </w:p>
        </w:tc>
        <w:tc>
          <w:tcPr>
            <w:tcW w:w="2100" w:type="dxa"/>
            <w:tcBorders>
              <w:top w:val="single" w:color="auto" w:sz="4" w:space="0"/>
              <w:left w:val="nil"/>
              <w:bottom w:val="single" w:color="auto" w:sz="4" w:space="0"/>
              <w:right w:val="single" w:color="auto" w:sz="4" w:space="0"/>
            </w:tcBorders>
            <w:vAlign w:val="center"/>
          </w:tcPr>
          <w:p>
            <w:pPr>
              <w:spacing w:line="360" w:lineRule="exact"/>
              <w:rPr>
                <w:rFonts w:ascii="仿宋_GB2312" w:hAnsi="Calibri" w:eastAsia="仿宋_GB2312"/>
                <w:color w:val="000000"/>
                <w:szCs w:val="21"/>
              </w:rPr>
            </w:pPr>
            <w:r>
              <w:rPr>
                <w:rFonts w:hint="eastAsia" w:ascii="仿宋_GB2312" w:hAnsi="Calibri" w:eastAsia="仿宋_GB2312"/>
                <w:color w:val="000000"/>
                <w:szCs w:val="21"/>
              </w:rPr>
              <w:t>1.利用案例教学法学习仓库平面区域的分析、动线设计，引导学生的科学思维；</w:t>
            </w:r>
          </w:p>
          <w:p>
            <w:pPr>
              <w:spacing w:line="360" w:lineRule="exact"/>
              <w:rPr>
                <w:rFonts w:ascii="仿宋_GB2312" w:hAnsi="仿宋_GB2312" w:eastAsia="仿宋_GB2312" w:cs="仿宋_GB2312"/>
                <w:kern w:val="0"/>
                <w:szCs w:val="21"/>
                <w:lang w:bidi="ar"/>
              </w:rPr>
            </w:pPr>
            <w:r>
              <w:rPr>
                <w:rFonts w:hint="eastAsia" w:ascii="仿宋_GB2312" w:hAnsi="Calibri" w:eastAsia="仿宋_GB2312"/>
                <w:color w:val="000000"/>
                <w:szCs w:val="21"/>
              </w:rPr>
              <w:t>2.通过案例教学的方法介绍各类仓储设备的使用方法。</w:t>
            </w:r>
          </w:p>
        </w:tc>
        <w:tc>
          <w:tcPr>
            <w:tcW w:w="114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spacing w:line="360" w:lineRule="exact"/>
              <w:jc w:val="center"/>
              <w:rPr>
                <w:rFonts w:ascii="仿宋_GB2312" w:hAnsi="Calibri" w:eastAsia="仿宋_GB2312"/>
                <w:color w:val="000000"/>
                <w:szCs w:val="21"/>
              </w:rPr>
            </w:pPr>
            <w:r>
              <w:rPr>
                <w:rFonts w:hint="eastAsia" w:ascii="仿宋_GB2312" w:hAnsi="Calibri" w:eastAsia="仿宋_GB2312"/>
                <w:color w:val="000000"/>
                <w:szCs w:val="21"/>
              </w:rPr>
              <w:t>入库</w:t>
            </w:r>
          </w:p>
          <w:p>
            <w:pPr>
              <w:spacing w:line="360" w:lineRule="exact"/>
              <w:jc w:val="center"/>
              <w:rPr>
                <w:rFonts w:ascii="仿宋_GB2312" w:hAnsi="Calibri" w:eastAsia="仿宋_GB2312"/>
                <w:color w:val="000000"/>
                <w:szCs w:val="21"/>
              </w:rPr>
            </w:pPr>
            <w:r>
              <w:rPr>
                <w:rFonts w:hint="eastAsia" w:ascii="仿宋_GB2312" w:hAnsi="Calibri" w:eastAsia="仿宋_GB2312"/>
                <w:color w:val="000000"/>
                <w:szCs w:val="21"/>
              </w:rPr>
              <w:t>业务运作</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p>
        </w:tc>
        <w:tc>
          <w:tcPr>
            <w:tcW w:w="408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1.掌握库存管理的方法、实施步骤，了解ABC库存管理的策略；</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2.掌握商品验收方法、验收流程，并能完成验收作业和系统操作，能够处理验收过程中的异常问题；</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3.掌握正确收货的方法、收货系统使用、收货常见问题及注意事项；</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4.掌握常见的堆码方式及各自优缺点、堆码工作标准要求、堆码注意事项及作业流程；</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5.掌握入库上架作业流程及相关的使用设备、作业规范要求和注意事项。能够正确完成上架作业，完成上架异常问题的处理；</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6.掌握WMS系统入库作业操作方法、系统操作注意事项、使用WMS系统完成入库作业；</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7.掌握使用PDA货品入库操作方。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rPr>
              <w:t>1.能够熟练掌握</w:t>
            </w:r>
            <w:r>
              <w:rPr>
                <w:rFonts w:hint="eastAsia" w:ascii="仿宋_GB2312" w:hAnsi="Calibri" w:eastAsia="仿宋_GB2312"/>
                <w:color w:val="000000"/>
                <w:szCs w:val="21"/>
              </w:rPr>
              <w:t>常见的堆码方式及各自优缺点、堆码工作标准要求、堆码注意事项及作业流程；</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2.理解入库上架作业流程及相关的使用设备、作业规范要求和注意事项。能够正确完成上架作业，完成上架异常问题的处理；</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3.了解PDA货品入库操作方；</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4.能够掌握库存管理的方法、实施步骤，了解ABC库存管理的策略。</w:t>
            </w:r>
          </w:p>
        </w:tc>
        <w:tc>
          <w:tcPr>
            <w:tcW w:w="2100" w:type="dxa"/>
            <w:tcBorders>
              <w:top w:val="single" w:color="auto" w:sz="4" w:space="0"/>
              <w:left w:val="nil"/>
              <w:bottom w:val="single" w:color="auto" w:sz="4" w:space="0"/>
              <w:right w:val="single" w:color="auto" w:sz="4" w:space="0"/>
            </w:tcBorders>
            <w:vAlign w:val="center"/>
          </w:tcPr>
          <w:p>
            <w:pPr>
              <w:spacing w:line="360" w:lineRule="exact"/>
              <w:rPr>
                <w:rFonts w:ascii="仿宋_GB2312" w:hAnsi="Calibri" w:eastAsia="仿宋_GB2312"/>
                <w:color w:val="000000"/>
                <w:szCs w:val="21"/>
              </w:rPr>
            </w:pPr>
            <w:r>
              <w:rPr>
                <w:rFonts w:hint="eastAsia" w:ascii="仿宋_GB2312" w:hAnsi="Calibri" w:eastAsia="仿宋_GB2312"/>
                <w:color w:val="000000"/>
                <w:szCs w:val="21"/>
              </w:rPr>
              <w:t>1.培养学生的大数据意识和职业素养；</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2.利用多媒体对预收货、卸货、验收、入库上架、退货等相关流程讲解；</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3.模拟收、卸货作业、验收、入库上架、退货等作业流程；</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4.通过现场教学，教师演示，学生模拟练习各种货物堆码的方法；</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5.计算案例数据确定合理的库存管理方法；</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6.设置多种退货商品场景，由学生分组讨论退货的原因及相应的处理方法；</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7.结合任务案例，由学生分组用角色扮演法进行收退货、审核回单。</w:t>
            </w:r>
          </w:p>
        </w:tc>
        <w:tc>
          <w:tcPr>
            <w:tcW w:w="114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项目四</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在库管理</w:t>
            </w:r>
          </w:p>
        </w:tc>
        <w:tc>
          <w:tcPr>
            <w:tcW w:w="408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1.掌握移库单操作的方法和技巧以及移库作业注意事项。能够按要求完成移库作业、移库系统操作、移库异常处理；</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2.熟悉不同货品保管规范要求和货品保管注意事项，完成货品保管作业。正确处理货品保管异常问题；</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3.掌握库存盘点的常用方法和技巧、库存盘点潜在问题及处理措施，能够按要求完成盘点作业、正确填写盘点表单、完成库存盘点问题统计及异常处理；</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4.掌握流通加工的作业及方法、流通加工常见异常问题，完成货品流通加工作业。了解流通加工中清洁标准，正确处理流通加工异常问题；</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5.掌握仓库6S管理目的、管理内容、常见问题，能够完成仓库6S管理、正确处理管理异常问题。</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1.熟悉仓库6S管理目的、管理内容、常见问题，能够完成仓库6S管理、正确处理管理异常问题；</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2.能够掌握移库单操作的方法和技巧以及移库作业注意事项。能够按要求完成移库作业、移库系统操作、移库异常处理；</w:t>
            </w:r>
          </w:p>
          <w:p>
            <w:pPr>
              <w:autoSpaceDE w:val="0"/>
              <w:autoSpaceDN w:val="0"/>
              <w:adjustRightInd w:val="0"/>
              <w:snapToGrid w:val="0"/>
              <w:spacing w:line="360" w:lineRule="exact"/>
              <w:textAlignment w:val="baseline"/>
              <w:rPr>
                <w:rFonts w:ascii="仿宋_GB2312" w:hAnsi="Calibri" w:eastAsia="仿宋_GB2312"/>
                <w:color w:val="000000"/>
                <w:szCs w:val="21"/>
              </w:rPr>
            </w:pPr>
            <w:r>
              <w:rPr>
                <w:rFonts w:hint="eastAsia" w:ascii="仿宋_GB2312" w:hAnsi="Calibri" w:eastAsia="仿宋_GB2312"/>
                <w:color w:val="000000"/>
                <w:szCs w:val="21"/>
              </w:rPr>
              <w:t>3.能认识不同货品保管规范要求和货品保管注意事项，完成货品保管作业。正确处理货品保管异常问题；</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4.能准确掌握流通加工的作业及方法、流通加工常见异常问题，完成货品流通加工作业。了解流通加工中清洁标准，正确处理流通加工异常问题。</w:t>
            </w:r>
          </w:p>
        </w:tc>
        <w:tc>
          <w:tcPr>
            <w:tcW w:w="2100" w:type="dxa"/>
            <w:tcBorders>
              <w:top w:val="single" w:color="auto" w:sz="4" w:space="0"/>
              <w:left w:val="nil"/>
              <w:bottom w:val="single" w:color="auto" w:sz="4" w:space="0"/>
              <w:right w:val="single" w:color="auto" w:sz="4" w:space="0"/>
            </w:tcBorders>
            <w:vAlign w:val="center"/>
          </w:tcPr>
          <w:p>
            <w:pPr>
              <w:spacing w:line="360" w:lineRule="exact"/>
              <w:rPr>
                <w:rFonts w:ascii="仿宋_GB2312" w:hAnsi="Calibri" w:eastAsia="仿宋_GB2312"/>
                <w:color w:val="000000"/>
                <w:szCs w:val="21"/>
              </w:rPr>
            </w:pPr>
            <w:r>
              <w:rPr>
                <w:rFonts w:hint="eastAsia" w:ascii="仿宋_GB2312" w:hAnsi="Calibri" w:eastAsia="仿宋_GB2312"/>
                <w:color w:val="000000"/>
                <w:szCs w:val="21"/>
              </w:rPr>
              <w:t>1.利用多媒体和教学视频对订单处理、流通加工、货品保管、仓库6S管理等相关知识点进行讲解，培养学生的规划意识；</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2.采用演示教学法，由教师进行现场模拟盘点、流通加工作业，并讲解操作方法和技术策略；</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3.设置典型工作场景，由教师设置多种商品，提出包装、流通加工等任务，由学生分组实施操作处理；</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4.在物流实训相关场地，了解各项安全管理制度及业务操作规范，熟悉仓库安全及货品保管和业务异常问题的处置。</w:t>
            </w:r>
          </w:p>
        </w:tc>
        <w:tc>
          <w:tcPr>
            <w:tcW w:w="114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5</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项目五</w:t>
            </w:r>
          </w:p>
          <w:p>
            <w:pPr>
              <w:widowControl/>
              <w:kinsoku w:val="0"/>
              <w:autoSpaceDE w:val="0"/>
              <w:autoSpaceDN w:val="0"/>
              <w:adjustRightInd w:val="0"/>
              <w:snapToGrid w:val="0"/>
              <w:spacing w:line="36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出库业务运作</w:t>
            </w:r>
          </w:p>
        </w:tc>
        <w:tc>
          <w:tcPr>
            <w:tcW w:w="408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1.了解出库订单处理的技巧、订单系统操作的方法和注意事项、掌握出库订单作业流程；</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2.掌握补货流程和管理技巧、补货工作规范要求和补货中常见问题及处理方法。能够运用AGV进行补货上架和拣货出库流程的操作；</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3.掌握不同的拣货方式应用、电子标签系统的操作方法，了解拣选作业的评价指标。学习智慧物流技术，熟练使用合适的智能拣选设备，完成拣货作业。了解“货到人”拣选技术；</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4.掌握基本的包装技术、工具和设备、能够按要求正确使用包装工具和设备、完成包装货物作业，并能妥善处理包装作业异常问题；</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5.掌握出库复核方法、流程和操作技巧及出库复核常见问题及处理措施；</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6.掌握发货出库操作方法、系统操作、发货出库异常问题及处理方法；</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7.熟悉点货上车作业工作要求、流程及主要内容，并能够完成点货上车作业。掌握确定装车顺序的方法、上车交接作业、正确处理点货上车作业异常问题。</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1.能够熟练而准确的掌握补货流程和管理技巧、补货工作规范要求和补货中常见问题及处理方法。能够运用AGV进行补货上架和拣货出库流程的操作；</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2. 掌握基本的包装技术、工具和设备、能够按要求正确使用包装工具和设备、完成包装货物作业，并能妥善处理包装作业异常问题。</w:t>
            </w:r>
          </w:p>
        </w:tc>
        <w:tc>
          <w:tcPr>
            <w:tcW w:w="2100" w:type="dxa"/>
            <w:tcBorders>
              <w:top w:val="single" w:color="auto" w:sz="4" w:space="0"/>
              <w:left w:val="nil"/>
              <w:bottom w:val="single" w:color="auto" w:sz="4" w:space="0"/>
              <w:right w:val="single" w:color="auto" w:sz="4" w:space="0"/>
            </w:tcBorders>
            <w:vAlign w:val="center"/>
          </w:tcPr>
          <w:p>
            <w:pPr>
              <w:spacing w:line="360" w:lineRule="exact"/>
              <w:rPr>
                <w:rFonts w:ascii="仿宋_GB2312" w:hAnsi="Calibri" w:eastAsia="仿宋_GB2312"/>
                <w:color w:val="000000"/>
                <w:szCs w:val="21"/>
              </w:rPr>
            </w:pPr>
            <w:r>
              <w:rPr>
                <w:rFonts w:hint="eastAsia" w:ascii="仿宋_GB2312" w:hAnsi="Calibri" w:eastAsia="仿宋_GB2312"/>
                <w:color w:val="000000"/>
                <w:szCs w:val="21"/>
              </w:rPr>
              <w:t>1.利用多媒体和教学视频对单据处理、补货、拣货、包装货物、出库复核、发货出库作业、点货上车作业等相关知识点进行讲解；</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2.设置情境并给出任务，让学生分小组采用角色扮演法进行补货、拣货、包装货物、流通加工等业务；</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3.结合任务案例，由学生分组用角色扮演法进行复核、点货上车等作业的练习。</w:t>
            </w:r>
          </w:p>
        </w:tc>
        <w:tc>
          <w:tcPr>
            <w:tcW w:w="114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项目六</w:t>
            </w:r>
          </w:p>
          <w:p>
            <w:pPr>
              <w:widowControl/>
              <w:kinsoku w:val="0"/>
              <w:autoSpaceDE w:val="0"/>
              <w:autoSpaceDN w:val="0"/>
              <w:adjustRightInd w:val="0"/>
              <w:snapToGrid w:val="0"/>
              <w:spacing w:line="36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配送</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业务运作</w:t>
            </w:r>
          </w:p>
        </w:tc>
        <w:tc>
          <w:tcPr>
            <w:tcW w:w="408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1.掌握配送的基本概念及配送业务在物流管理中的作用和地位；</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2.了解几种典型的配送中心的模式和类型；</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3.掌握配送作业流程；</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4.掌握配送车辆调度原则和配送车辆模式选择的方法；</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5.掌握与客户交接货品的流程和方法，保证配送高效进行；</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6.掌握接收客户的收退货流程和方法；</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7.掌握审核回单的流程和作业要点。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1.能认识了解几种典型的配送中心的模式和类型；</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2.理解审核回单的流程和作业要点；</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3.熟练掌握配送车辆调度原则和配送车辆模式选择的方法；</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4.能够认识配送的基本概念及配送业务在物流管理中的作用和地位；</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5. 能够掌握与客户交接货品的流程和方法，保证配送高效进行。</w:t>
            </w:r>
          </w:p>
        </w:tc>
        <w:tc>
          <w:tcPr>
            <w:tcW w:w="2100" w:type="dxa"/>
            <w:tcBorders>
              <w:top w:val="single" w:color="auto" w:sz="4" w:space="0"/>
              <w:left w:val="nil"/>
              <w:bottom w:val="single" w:color="auto" w:sz="4" w:space="0"/>
              <w:right w:val="single" w:color="auto" w:sz="4" w:space="0"/>
            </w:tcBorders>
            <w:vAlign w:val="center"/>
          </w:tcPr>
          <w:p>
            <w:pPr>
              <w:spacing w:line="360" w:lineRule="exact"/>
              <w:rPr>
                <w:rFonts w:ascii="仿宋_GB2312" w:hAnsi="Calibri" w:eastAsia="仿宋_GB2312"/>
                <w:color w:val="000000"/>
                <w:szCs w:val="21"/>
              </w:rPr>
            </w:pPr>
            <w:r>
              <w:rPr>
                <w:rFonts w:hint="eastAsia" w:ascii="仿宋_GB2312" w:hAnsi="Calibri" w:eastAsia="仿宋_GB2312"/>
                <w:color w:val="000000"/>
                <w:szCs w:val="21"/>
              </w:rPr>
              <w:t>1.采用演示教学法，由教师利用多媒体进行知识点的讲解，并进行各步骤内容的分析；</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2.结合任务案例，由学生分组用角色扮演法进行交接货、审核回单。</w:t>
            </w:r>
          </w:p>
        </w:tc>
        <w:tc>
          <w:tcPr>
            <w:tcW w:w="114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项目七</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Calibri" w:eastAsia="仿宋_GB2312"/>
                <w:color w:val="000000"/>
                <w:szCs w:val="21"/>
              </w:rPr>
              <w:t>返品处理</w:t>
            </w:r>
          </w:p>
        </w:tc>
        <w:tc>
          <w:tcPr>
            <w:tcW w:w="408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1.掌握返品处理方法和业务流程及业务运行策略；</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2.能准确分析退货原因，并能提出改进策略；</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3.掌握退货处理的方法；</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4.能运用管理信息系统处理退货业务；</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Calibri" w:eastAsia="仿宋_GB2312"/>
                <w:color w:val="000000"/>
                <w:szCs w:val="21"/>
              </w:rPr>
              <w:t>5.熟悉退货原因以及退货常见问题，顺利完成退货作业，能够按要求完成退货作业、完成退货废弃包装处理、退货过程异常问题处理。</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1.能够熟练运用管理信息系统处理退货业务；</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2.能够分析出退货原因，并能提出改进策略；</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3.能够熟练找出退货原因以及退货常见问题，顺利完成退货作业，能够按要求完成退货作业。</w:t>
            </w:r>
          </w:p>
        </w:tc>
        <w:tc>
          <w:tcPr>
            <w:tcW w:w="2100" w:type="dxa"/>
            <w:tcBorders>
              <w:top w:val="single" w:color="auto" w:sz="4" w:space="0"/>
              <w:left w:val="nil"/>
              <w:bottom w:val="single" w:color="auto" w:sz="4" w:space="0"/>
              <w:right w:val="single" w:color="auto" w:sz="4" w:space="0"/>
            </w:tcBorders>
            <w:vAlign w:val="center"/>
          </w:tcPr>
          <w:p>
            <w:pPr>
              <w:spacing w:line="360" w:lineRule="exact"/>
              <w:rPr>
                <w:rFonts w:ascii="仿宋_GB2312" w:hAnsi="Calibri" w:eastAsia="仿宋_GB2312"/>
                <w:color w:val="000000"/>
                <w:szCs w:val="21"/>
              </w:rPr>
            </w:pPr>
            <w:r>
              <w:rPr>
                <w:rFonts w:hint="eastAsia" w:ascii="仿宋_GB2312" w:hAnsi="Calibri" w:eastAsia="仿宋_GB2312"/>
                <w:color w:val="000000"/>
                <w:szCs w:val="21"/>
              </w:rPr>
              <w:t>1.采用演示教学法，由教师进行现场模拟，并进行各步骤内容的分析讲解；</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2.设置场景，由教师设置多种退货商品，由学生分组讨论退货的原因及相应的处理方法。</w:t>
            </w:r>
          </w:p>
        </w:tc>
        <w:tc>
          <w:tcPr>
            <w:tcW w:w="114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项目八</w:t>
            </w:r>
          </w:p>
          <w:p>
            <w:pPr>
              <w:widowControl/>
              <w:kinsoku w:val="0"/>
              <w:autoSpaceDE w:val="0"/>
              <w:autoSpaceDN w:val="0"/>
              <w:adjustRightInd w:val="0"/>
              <w:snapToGrid w:val="0"/>
              <w:spacing w:line="36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冷链</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Calibri" w:eastAsia="仿宋_GB2312"/>
                <w:color w:val="000000"/>
                <w:szCs w:val="21"/>
              </w:rPr>
              <w:t>仓配运营</w:t>
            </w:r>
          </w:p>
        </w:tc>
        <w:tc>
          <w:tcPr>
            <w:tcW w:w="408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1.掌握冷链入库作业工作要求、系统操作方法和完整作业流程能够按要求完成冷链入库作业、冷链入库作业系统操作，正确处理冷链入库作业异常问题；</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2.掌握冷链出库作业工作要求、冷链出库作业注意事项和冷链出库作业常见问题。能够按要求完成冷链出库作业、出库作业系统操作、正确处理冷链出库作业异常问题；</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3.掌握冷链包装技术和方法、冷链包装作业工作要求，完成冷链。</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1.能了解冷链入库作业工作要求、系统操作方法和完整作业流程和冷链入库作业系统操作，正确处理冷链入库作业异常问题；</w:t>
            </w:r>
          </w:p>
          <w:p>
            <w:pPr>
              <w:widowControl/>
              <w:kinsoku w:val="0"/>
              <w:autoSpaceDE w:val="0"/>
              <w:autoSpaceDN w:val="0"/>
              <w:adjustRightInd w:val="0"/>
              <w:snapToGrid w:val="0"/>
              <w:spacing w:line="360" w:lineRule="exact"/>
              <w:jc w:val="left"/>
              <w:textAlignment w:val="baseline"/>
              <w:rPr>
                <w:rFonts w:ascii="仿宋_GB2312" w:hAnsi="Calibri" w:eastAsia="仿宋_GB2312"/>
                <w:color w:val="000000"/>
                <w:szCs w:val="21"/>
              </w:rPr>
            </w:pPr>
            <w:r>
              <w:rPr>
                <w:rFonts w:hint="eastAsia" w:ascii="仿宋_GB2312" w:hAnsi="Calibri" w:eastAsia="仿宋_GB2312"/>
                <w:color w:val="000000"/>
                <w:szCs w:val="21"/>
              </w:rPr>
              <w:t>2. 掌握冷链包装技术和包装方法、冷链包装作业工作要求，完成冷链。</w:t>
            </w:r>
          </w:p>
        </w:tc>
        <w:tc>
          <w:tcPr>
            <w:tcW w:w="2100" w:type="dxa"/>
            <w:tcBorders>
              <w:top w:val="single" w:color="auto" w:sz="4" w:space="0"/>
              <w:left w:val="nil"/>
              <w:bottom w:val="single" w:color="auto" w:sz="4" w:space="0"/>
              <w:right w:val="single" w:color="auto" w:sz="4" w:space="0"/>
            </w:tcBorders>
            <w:vAlign w:val="center"/>
          </w:tcPr>
          <w:p>
            <w:pPr>
              <w:spacing w:line="360" w:lineRule="exact"/>
              <w:rPr>
                <w:rFonts w:ascii="仿宋_GB2312" w:hAnsi="Calibri" w:eastAsia="仿宋_GB2312"/>
                <w:color w:val="000000"/>
                <w:szCs w:val="21"/>
              </w:rPr>
            </w:pPr>
            <w:r>
              <w:rPr>
                <w:rFonts w:hint="eastAsia" w:ascii="仿宋_GB2312" w:hAnsi="Calibri" w:eastAsia="仿宋_GB2312"/>
                <w:color w:val="000000"/>
                <w:szCs w:val="21"/>
              </w:rPr>
              <w:t>1.利用多媒体和教学视频对冷链入库、出库、包装等相关知识点进行讲解；</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2.给出一定的任务，让学生分小组采用角色扮演法进行冷链入库作业、出库作业等各项作业的练习；</w:t>
            </w:r>
          </w:p>
          <w:p>
            <w:pPr>
              <w:spacing w:line="360" w:lineRule="exact"/>
              <w:rPr>
                <w:rFonts w:ascii="仿宋_GB2312" w:hAnsi="Calibri" w:eastAsia="仿宋_GB2312"/>
                <w:color w:val="000000"/>
                <w:szCs w:val="21"/>
              </w:rPr>
            </w:pPr>
            <w:r>
              <w:rPr>
                <w:rFonts w:hint="eastAsia" w:ascii="仿宋_GB2312" w:hAnsi="Calibri" w:eastAsia="仿宋_GB2312"/>
                <w:color w:val="000000"/>
                <w:szCs w:val="21"/>
              </w:rPr>
              <w:t>3.分组练习基本的包装、捆扎操作。</w:t>
            </w:r>
          </w:p>
        </w:tc>
        <w:tc>
          <w:tcPr>
            <w:tcW w:w="114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立足于加强学生实际操作能力的培养，坚持校企合作、工学结合的人才培养模式，开展理实一体化教学组织。利用校内外实训基地，要求基于企业实际工作过程，搭建实景化的虚拟仿真教学场景，遵循教学内容与工作内容统一、教学实训系统与企业操作系统统一、实训数据与企业数据统一的“三统一”原则构建教学资源。</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学过程突出“做中学、做中教”的职业教育教学特色。本课程教学可充分利用现代化教育技术，配合实物教学设备、多媒体教学课件、数字化资源等手段，从学生实际出发，以仓储与配送运营管理工作过程为依据进行教学设计主线，推动教、学、做结合，理论与实践一体，灵活运用启发式教学、项目任务式教学、情境模拟教学、案例分析教学、虚拟仿真教学等教学法，使学生在学中做、做中学，以求达到最佳的学习效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（4）针对不同的学习内容和学生个体差异，采用小组合作的学习方式，加强组员之间、小组之间的及时沟通和交流，促进学生在教师指导下主动地、富有个性地学习。</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（1）坚持用多元评价方式，注重对学生学习态度、思维能力、动手能力、解决问题能力等方面进行综合考核，客观评价学生的学习情况。</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（2）以课程教学目标为基础设计课程评价标准，坚持用多元评价引导学生形成个性化的学习过程和达标要求，养成自觉主动的学习习惯。</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（3）依托数字化平台，采集学习过程数据，进行数据分析，运行数字化、智慧化评价手段，对学生进行科学评价。</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（4）采用观察、口试、笔试、顶岗操作、技能大赛、职业等级评定、校行企生与平台结合的多种方式、多方主体评价等综合评价方式。</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（5）考核方式采用过程评价与结果评价相结合、能力评价与职业素养评价相结合的评价方式，按照百分制进行考核。过程考核占60%，终结考核占40%。</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（1）具备信息化手段开展混合式教学的条件。配备黑（白）板、多媒体教室、物流仓储仿真系统、数字化教学资源、无线网络环境，并具有网络安全防护措施。</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（2）智能仓储配送实训室能开展智能仓储业务、配送服务等生产型实训活动，实训设施齐备，实训岗位配备实训指导教师，实训管理及实施规章制度齐全。</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企业实习基地应提供智慧仓配运营、客服等相关实习岗位，按照师生比1：10以内配备相应数量的指导教师，对实习学生进行指导和管理，并具有完善的企业导师管理制度以及绩效考核办法。能为实习生活、工作、学习提供安全卫生的基本设施，具有完善的实习生管理规章制度，为实习生提供保险保障。</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（1）教师教学一般依据专业教学标准的相关课程要求、课程标准、教材来组织教学内容。教材原则上需从国家和省市发布的省级以上规划教材目录中选用。</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（2）所用教材的编写需深度贯彻习近平新时代中国特色社会主义，弘扬社会主义核心价值观，积极落实二十大精神，及时引进行业企业最新新理念、新技术、新设备、新模式等。</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（3）教材形式应图文并茂，尽量多采用图片、流程图等，语言生动，版式活泼，符合中职学生的学习特点。</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为激发学生的学习兴趣，应创设形象生动的教学情境，尽可能采用现代化教学手段，鼓励学校通过购买、检索、校企合作或者自主研发多媒体课件、音视频、图谱、实物教具、试题库、竞赛方案、电子教案等数字化教学资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5.授课进程建议表 </w:t>
      </w:r>
      <w:r>
        <w:rPr>
          <w:rFonts w:ascii="仿宋_GB2312" w:hAnsi="仿宋_GB2312" w:eastAsia="仿宋_GB2312" w:cs="仿宋_GB2312"/>
          <w:sz w:val="32"/>
          <w:szCs w:val="32"/>
          <w:lang w:bidi="ar"/>
        </w:rPr>
        <w:t xml:space="preserve"> </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4220"/>
        <w:gridCol w:w="1357"/>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trPr>
        <w:tc>
          <w:tcPr>
            <w:tcW w:w="102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422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357"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46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1</w:t>
            </w:r>
          </w:p>
        </w:tc>
        <w:tc>
          <w:tcPr>
            <w:tcW w:w="42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仓储的基本概念及性质</w:t>
            </w:r>
          </w:p>
        </w:tc>
        <w:tc>
          <w:tcPr>
            <w:tcW w:w="1357"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2</w:t>
            </w:r>
          </w:p>
        </w:tc>
        <w:tc>
          <w:tcPr>
            <w:tcW w:w="42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仓储业的产生及智慧化发展趋势</w:t>
            </w:r>
          </w:p>
        </w:tc>
        <w:tc>
          <w:tcPr>
            <w:tcW w:w="1357"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3</w:t>
            </w:r>
          </w:p>
        </w:tc>
        <w:tc>
          <w:tcPr>
            <w:tcW w:w="4220" w:type="dxa"/>
            <w:vAlign w:val="center"/>
          </w:tcPr>
          <w:p>
            <w:pPr>
              <w:keepNext w:val="0"/>
              <w:keepLines w:val="0"/>
              <w:pageBreakBefore w:val="0"/>
              <w:wordWrap/>
              <w:overflowPunct/>
              <w:topLinePunct w:val="0"/>
              <w:bidi w:val="0"/>
              <w:spacing w:line="320" w:lineRule="exact"/>
              <w:ind w:right="21" w:rightChars="10" w:firstLine="420" w:firstLineChars="200"/>
              <w:jc w:val="center"/>
              <w:rPr>
                <w:rFonts w:ascii="仿宋_GB2312" w:hAnsi="Calibri" w:eastAsia="仿宋_GB2312"/>
                <w:color w:val="000000"/>
                <w:szCs w:val="21"/>
              </w:rPr>
            </w:pPr>
            <w:r>
              <w:rPr>
                <w:rFonts w:hint="eastAsia" w:ascii="仿宋_GB2312" w:hAnsi="Calibri" w:eastAsia="仿宋_GB2312"/>
                <w:color w:val="000000"/>
                <w:szCs w:val="21"/>
              </w:rPr>
              <w:t>仓储管理的概念及任务</w:t>
            </w:r>
          </w:p>
        </w:tc>
        <w:tc>
          <w:tcPr>
            <w:tcW w:w="1357"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42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仓库的作用和仓库分类</w:t>
            </w:r>
          </w:p>
        </w:tc>
        <w:tc>
          <w:tcPr>
            <w:tcW w:w="1357"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5</w:t>
            </w:r>
          </w:p>
        </w:tc>
        <w:tc>
          <w:tcPr>
            <w:tcW w:w="42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自动化仓库的基本配置</w:t>
            </w:r>
          </w:p>
        </w:tc>
        <w:tc>
          <w:tcPr>
            <w:tcW w:w="1357"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6</w:t>
            </w:r>
          </w:p>
        </w:tc>
        <w:tc>
          <w:tcPr>
            <w:tcW w:w="42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正确收货的方法、收货系统使用</w:t>
            </w:r>
          </w:p>
        </w:tc>
        <w:tc>
          <w:tcPr>
            <w:tcW w:w="1357"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7</w:t>
            </w:r>
          </w:p>
        </w:tc>
        <w:tc>
          <w:tcPr>
            <w:tcW w:w="42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使用PDA货品入库操作方法</w:t>
            </w:r>
          </w:p>
        </w:tc>
        <w:tc>
          <w:tcPr>
            <w:tcW w:w="1357"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8</w:t>
            </w:r>
          </w:p>
        </w:tc>
        <w:tc>
          <w:tcPr>
            <w:tcW w:w="4220"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商品验收方法、验收流程</w:t>
            </w:r>
          </w:p>
        </w:tc>
        <w:tc>
          <w:tcPr>
            <w:tcW w:w="1357"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ordWrap/>
              <w:overflowPunct/>
              <w:topLinePunct w:val="0"/>
              <w:bidi w:val="0"/>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9</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仓库的基本设施、用途和使用原则</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10</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不同货品保管规范要求和注意事项</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11</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库存盘点的常用方法和技巧</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12</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出库订单处理的技巧和方法</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13</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补货流程和出库流程的操作</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14</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使用合适智能拣选设备和拣选技术</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15</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出库复核方法、流程和操作技巧</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16</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配送的基本概念及配送业务的地位</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17</w:t>
            </w:r>
          </w:p>
        </w:tc>
        <w:tc>
          <w:tcPr>
            <w:tcW w:w="4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审核回单的流程和作业要点</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18</w:t>
            </w:r>
          </w:p>
        </w:tc>
        <w:tc>
          <w:tcPr>
            <w:tcW w:w="4220" w:type="dxa"/>
            <w:vAlign w:val="center"/>
          </w:tcPr>
          <w:p>
            <w:pPr>
              <w:keepNext w:val="0"/>
              <w:keepLines w:val="0"/>
              <w:pageBreakBefore w:val="0"/>
              <w:widowControl w:val="0"/>
              <w:tabs>
                <w:tab w:val="left" w:pos="2610"/>
              </w:tabs>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接收客户的收退货流程和方法</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4</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21" w:rightChars="10"/>
              <w:jc w:val="center"/>
              <w:textAlignment w:val="auto"/>
              <w:rPr>
                <w:rFonts w:ascii="仿宋_GB2312" w:hAnsi="Calibri" w:eastAsia="仿宋_GB2312"/>
                <w:color w:val="000000"/>
                <w:szCs w:val="21"/>
              </w:rPr>
            </w:pPr>
            <w:r>
              <w:rPr>
                <w:rFonts w:hint="eastAsia" w:ascii="仿宋_GB2312" w:hAnsi="Calibri" w:eastAsia="仿宋_GB2312"/>
                <w:color w:val="000000"/>
                <w:szCs w:val="21"/>
              </w:rPr>
              <w:t>教学演示，学生练习</w:t>
            </w:r>
          </w:p>
        </w:tc>
      </w:tr>
    </w:tbl>
    <w:p>
      <w:pPr>
        <w:widowControl/>
        <w:jc w:val="left"/>
        <w:rPr>
          <w:rFonts w:ascii="方正小标宋简体" w:hAnsi="方正小标宋简体" w:eastAsia="方正小标宋简体" w:cs="方正小标宋简体"/>
          <w:sz w:val="32"/>
          <w:szCs w:val="32"/>
        </w:rPr>
      </w:pPr>
      <w:bookmarkStart w:id="8" w:name="_Toc17941"/>
    </w:p>
    <w:p>
      <w:pPr>
        <w:widowControl/>
        <w:jc w:val="left"/>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after="120" w:afterLines="50" w:line="5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快递实务课程标准</w:t>
      </w:r>
      <w:bookmarkEnd w:id="8"/>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bookmarkStart w:id="9" w:name="_Toc28742"/>
      <w:r>
        <w:rPr>
          <w:rFonts w:hint="eastAsia" w:ascii="楷体" w:hAnsi="楷体" w:eastAsia="楷体" w:cs="楷体"/>
          <w:sz w:val="32"/>
          <w:szCs w:val="32"/>
          <w:lang w:bidi="ar"/>
        </w:rPr>
        <w:t>（一）课程性质与任务</w:t>
      </w:r>
      <w:bookmarkEnd w:id="9"/>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中等职业学校物流服务与管理专业的专业核心课程。本课程重点介绍快递业务流程和快递各环节业务的相关工作，旨在使学生了解快递的产生背景及发展历史，掌握快递业务基本流程、快递接单、快递收取、快递处理、快件派发和快件保险与处理等相关知识和技能，使学生具备从事快递服务工作的基本职业能力，具备诚实、守信、善于沟通合作、服务意识和自我管理能力。</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bookmarkStart w:id="10" w:name="_Toc24467"/>
      <w:r>
        <w:rPr>
          <w:rFonts w:hint="eastAsia" w:ascii="楷体" w:hAnsi="楷体" w:eastAsia="楷体" w:cs="楷体"/>
          <w:sz w:val="32"/>
          <w:szCs w:val="32"/>
          <w:lang w:bidi="ar"/>
        </w:rPr>
        <w:t>（二）课程教学目标</w:t>
      </w:r>
      <w:bookmarkEnd w:id="10"/>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bookmarkStart w:id="11" w:name="_Toc3713"/>
      <w:r>
        <w:rPr>
          <w:rFonts w:hint="eastAsia" w:ascii="仿宋_GB2312" w:hAnsi="仿宋_GB2312" w:eastAsia="仿宋_GB2312" w:cs="仿宋_GB2312"/>
          <w:sz w:val="32"/>
          <w:szCs w:val="32"/>
          <w:lang w:bidi="ar"/>
        </w:rPr>
        <w:t>1.素质目标</w:t>
      </w:r>
      <w:bookmarkEnd w:id="11"/>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（1）具有爱岗敬业、精益求精的工匠精神和吃苦耐劳、热爱劳动的劳动精神；</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（2）具有良好的礼仪修养、语言表达能力，具备耐心细致、善于沟通的职业素养；</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（3）具备创新意识、团队合作精神和效率意识。</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bookmarkStart w:id="12" w:name="_Toc30700"/>
      <w:r>
        <w:rPr>
          <w:rFonts w:hint="eastAsia" w:ascii="仿宋_GB2312" w:hAnsi="仿宋_GB2312" w:eastAsia="仿宋_GB2312" w:cs="仿宋_GB2312"/>
          <w:sz w:val="32"/>
          <w:szCs w:val="32"/>
          <w:lang w:bidi="ar"/>
        </w:rPr>
        <w:t>2.知识目标</w:t>
      </w:r>
      <w:bookmarkEnd w:id="12"/>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（1）掌握快递业务的基本流程；</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（2）掌握快递业务的接单技巧；</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（3）掌握快件收取的工作内容及作业技巧；</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（4）掌握快件处理的工作内容及作业技巧；</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（5）掌握快件派发的工作内容及作业技巧；</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（6）掌握快件保险与理赔的流程。</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bookmarkStart w:id="13" w:name="_Toc21241"/>
      <w:r>
        <w:rPr>
          <w:rFonts w:hint="eastAsia" w:ascii="仿宋_GB2312" w:hAnsi="仿宋_GB2312" w:eastAsia="仿宋_GB2312" w:cs="仿宋_GB2312"/>
          <w:sz w:val="32"/>
          <w:szCs w:val="32"/>
          <w:lang w:bidi="ar"/>
        </w:rPr>
        <w:t>3.能力目标</w:t>
      </w:r>
      <w:bookmarkEnd w:id="13"/>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（1）能独立接单；</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（2）能按客户要求收取快件；</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（3）能派送快件；</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（4）能进行快件的分类与分拣；</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（5）能根据货物性质进行恰当装卸与运输；</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（6）能进行快速货物保值与理赔。</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bookmarkStart w:id="14" w:name="_Toc19988"/>
      <w:r>
        <w:rPr>
          <w:rFonts w:hint="eastAsia" w:ascii="楷体" w:hAnsi="楷体" w:eastAsia="楷体" w:cs="楷体"/>
          <w:sz w:val="32"/>
          <w:szCs w:val="32"/>
          <w:lang w:bidi="ar"/>
        </w:rPr>
        <w:t>（三）参考学时</w:t>
      </w:r>
      <w:bookmarkEnd w:id="14"/>
    </w:p>
    <w:p>
      <w:pPr>
        <w:widowControl/>
        <w:autoSpaceDE w:val="0"/>
        <w:adjustRightInd w:val="0"/>
        <w:snapToGrid w:val="0"/>
        <w:spacing w:line="560" w:lineRule="exact"/>
        <w:ind w:firstLine="960" w:firstLineChars="300"/>
        <w:textAlignment w:val="baseline"/>
        <w:rPr>
          <w:rFonts w:ascii="仿宋_GB2312" w:hAnsi="仿宋_GB2312" w:eastAsia="仿宋_GB2312" w:cs="仿宋_GB2312"/>
          <w:sz w:val="32"/>
          <w:szCs w:val="32"/>
          <w:lang w:bidi="ar"/>
        </w:rPr>
      </w:pPr>
      <w:bookmarkStart w:id="15" w:name="_Toc361"/>
      <w:r>
        <w:rPr>
          <w:rFonts w:hint="eastAsia" w:ascii="仿宋_GB2312" w:hAnsi="仿宋_GB2312" w:eastAsia="仿宋_GB2312" w:cs="仿宋_GB2312"/>
          <w:sz w:val="32"/>
          <w:szCs w:val="32"/>
          <w:lang w:bidi="ar"/>
        </w:rPr>
        <w:t>72学时</w:t>
      </w:r>
      <w:bookmarkEnd w:id="15"/>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bookmarkStart w:id="16" w:name="_Toc23850"/>
      <w:r>
        <w:rPr>
          <w:rFonts w:hint="eastAsia" w:ascii="楷体" w:hAnsi="楷体" w:eastAsia="楷体" w:cs="楷体"/>
          <w:sz w:val="32"/>
          <w:szCs w:val="32"/>
          <w:lang w:bidi="ar"/>
        </w:rPr>
        <w:t>（四）课程学分</w:t>
      </w:r>
      <w:bookmarkEnd w:id="16"/>
    </w:p>
    <w:p>
      <w:pPr>
        <w:widowControl/>
        <w:autoSpaceDE w:val="0"/>
        <w:adjustRightInd w:val="0"/>
        <w:snapToGrid w:val="0"/>
        <w:spacing w:line="560" w:lineRule="exact"/>
        <w:ind w:firstLine="960" w:firstLineChars="300"/>
        <w:textAlignment w:val="baseline"/>
        <w:rPr>
          <w:rFonts w:ascii="仿宋_GB2312" w:hAnsi="仿宋_GB2312" w:eastAsia="仿宋_GB2312" w:cs="仿宋_GB2312"/>
          <w:sz w:val="32"/>
          <w:szCs w:val="32"/>
          <w:lang w:bidi="ar"/>
        </w:rPr>
      </w:pPr>
      <w:bookmarkStart w:id="17" w:name="_Toc32150"/>
      <w:r>
        <w:rPr>
          <w:rFonts w:hint="eastAsia" w:ascii="仿宋_GB2312" w:hAnsi="仿宋_GB2312" w:eastAsia="仿宋_GB2312" w:cs="仿宋_GB2312"/>
          <w:sz w:val="32"/>
          <w:szCs w:val="32"/>
          <w:lang w:bidi="ar"/>
        </w:rPr>
        <w:t>4学分</w:t>
      </w:r>
      <w:bookmarkEnd w:id="17"/>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bookmarkStart w:id="18" w:name="_Toc632"/>
      <w:r>
        <w:rPr>
          <w:rFonts w:hint="eastAsia" w:ascii="楷体" w:hAnsi="楷体" w:eastAsia="楷体" w:cs="楷体"/>
          <w:sz w:val="32"/>
          <w:szCs w:val="32"/>
          <w:lang w:bidi="ar"/>
        </w:rPr>
        <w:t>（五）课程内容和要求</w:t>
      </w:r>
      <w:bookmarkEnd w:id="18"/>
    </w:p>
    <w:tbl>
      <w:tblPr>
        <w:tblStyle w:val="15"/>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76"/>
        <w:gridCol w:w="3119"/>
        <w:gridCol w:w="2891"/>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8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119"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快递行业</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认知</w:t>
            </w:r>
          </w:p>
        </w:tc>
        <w:tc>
          <w:tcPr>
            <w:tcW w:w="3119"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1.快递市场的相关知识和快递企业的分布；</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2.快递业务的类型；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3.快递服务的基本流程。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1.了解快递市场，能对当地快递企业分布进行简单分析；</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2.掌握快递业务的类型，能针对某一快递企业进行简单分析。</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1.利用网络查询国内外快递企业，制作课件进行小组展示，了解当请快递市场；</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2.小组对当地快递企业分布进行调研，制作调研报告，掌握快递业务的类型；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3.通过组织企业参观或者案例分析，认知各类快递企业和快递服务基本业务流程。</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快件接单</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业务</w:t>
            </w:r>
          </w:p>
        </w:tc>
        <w:tc>
          <w:tcPr>
            <w:tcW w:w="3119"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1.新客户接单流程；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2.老客户接单流程；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3.商务礼仪；</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4.快递业务推介方法；</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5.快递接单的业务流程。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1.掌握新客户接单技巧；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2.掌握老客户接单技巧；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3.掌握各种商务礼仪；</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4.掌握快递业务推介时机和技巧；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5.掌握快递接单的业务流程。</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1.通过观看快递企业接单视频，了解快件接单业务过程；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2.通过角色扮演客户与客服人员等，模拟快递接单过程，掌握接单技巧及商务礼仪。</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快件收取</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业务</w:t>
            </w:r>
          </w:p>
        </w:tc>
        <w:tc>
          <w:tcPr>
            <w:tcW w:w="31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1.快件验收的流程，违规和违法禁寄物品的种类；</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2.快件度量计价的方法；</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3.假币识别技术；</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4.快件包装技术；</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5.运单标志、随运单证的粘贴；</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6.快件快速受理流程；</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7.运单的填制内容。</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1.掌握（上门揽收、网点收寄、大客户收件、电商企业收件）快件验收要领，能准确识别违规和违法禁寄物品；</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2.掌握快件度量计价要领；</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3.掌握假币识别技术；</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4.掌握快件包装技术；</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5.掌握运单、标志、随运单证的粘贴；</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6.掌握快件快速受理流程；</w:t>
            </w:r>
          </w:p>
          <w:p>
            <w:pPr>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7.掌握运单的填制内容和技巧。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p>
        </w:tc>
        <w:tc>
          <w:tcPr>
            <w:tcW w:w="2891"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1.通过观看快递企业速递员操作视频，了解快件收取业务过程；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2.通过现场实训，体验快件验收、度量、计价、包装、假币识别作业；</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3.通过现场实训和视频教学，识别各种违禁物品；</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4.通过现场实训，进行运单填写和随运单证的粘贴；</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5.通过角色扮演客户与速递员等，模拟快递收取过程掌握快递快速受理流程。</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项目四</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快件处理</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业务</w:t>
            </w:r>
          </w:p>
        </w:tc>
        <w:tc>
          <w:tcPr>
            <w:tcW w:w="3119"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1.快件信息录入作业的流程；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2.交接快件的流程；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3.营业款交接流程；　</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4.快件分拣工作内容。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1.掌握快件信息录入作业；</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2.掌握交接快件技巧；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3.掌握营业款交接技巧；　</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4.掌握快件分拣工作内容与技巧。</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1.通过观看快递企业分拣员操作视频，了解快件分拣业务过程；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2.通过现场实训，体验快件分拣作业。</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项目五</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快件查询与</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投诉业务</w:t>
            </w:r>
          </w:p>
        </w:tc>
        <w:tc>
          <w:tcPr>
            <w:tcW w:w="3119"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1.咨询服务工作内容；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2.查询工作内容；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3.投诉与理赔工作内容和流程。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1.掌握咨询服务工作内容与技巧；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2.掌握查询工作内容与技巧；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3.掌握投诉与理赔工作技巧。</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1.通过观看快递企业客服人员操作视频，了解快件查询与投诉业务；</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2.通过角色扮演客户与客服人员等，模拟快递查询、投诉等业务的处理。</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5"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项目六</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快件派送</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业务</w:t>
            </w:r>
          </w:p>
        </w:tc>
        <w:tc>
          <w:tcPr>
            <w:tcW w:w="3119"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1.快件交接流程；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2.投递地址的管理；</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3.投递路线的选择；</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4.与客户交接内容；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5.滞留件的处理流程。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1.掌握快件交接要领；</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2.能准确判断投递地址；</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3.能选择合理的投递路线；</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4.掌握与客户交接内容与工作要领；</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5.掌握滞留件的处理的流程。</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1.通过观看快递企业速递员操作视频，了解快件收取派送过程；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2.通过角色扮演客户与速递员等，模拟快递派送过程，灵活处理派送过程中的突发状况。</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项目七</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快递业务</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综合实训</w:t>
            </w:r>
          </w:p>
        </w:tc>
        <w:tc>
          <w:tcPr>
            <w:tcW w:w="3119"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1.同城快件的快递业务流程和操作；</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2.国内异地快件的快递业务流程和操作；</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3.国际快件的快递业务流程和操作。</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1.掌握同城快件的快递业务流程操作；</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2.掌握国内异地快件的快递业务流程操作；</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3.掌握国际快件的快递业务流程操作。</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1.通过聘请行业从业人员讲座，使学生深入认识本快递服务；</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2.通过角色扮演客户、速递员、客服人员、分拣员等，模拟同城、异地、国际快件的快递业务流程，并灵活处理快递过程中的突发状况。</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bookmarkStart w:id="19" w:name="_Toc32211"/>
      <w:r>
        <w:rPr>
          <w:rFonts w:hint="eastAsia" w:ascii="楷体" w:hAnsi="楷体" w:eastAsia="楷体" w:cs="楷体"/>
          <w:sz w:val="32"/>
          <w:szCs w:val="32"/>
          <w:lang w:bidi="ar"/>
        </w:rPr>
        <w:t>（六）实施建议</w:t>
      </w:r>
      <w:bookmarkEnd w:id="19"/>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bookmarkStart w:id="20" w:name="_Toc30827"/>
      <w:r>
        <w:rPr>
          <w:rFonts w:hint="eastAsia" w:ascii="仿宋_GB2312" w:hAnsi="仿宋_GB2312" w:eastAsia="仿宋_GB2312" w:cs="仿宋_GB2312"/>
          <w:sz w:val="32"/>
          <w:szCs w:val="32"/>
          <w:lang w:bidi="ar"/>
        </w:rPr>
        <w:t>1.实施建议</w:t>
      </w:r>
      <w:bookmarkEnd w:id="20"/>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在全社会弘扬劳动精神、奋斗精神、奉献精神、创造精神、勤俭节约精神，培育时代新风新貌的环境下，职业教育更应加强以爱国主义为核心的民族精神和以改革创新为核心的时代精神。在教学过程中，要注重学用相长知行合一，着力培养学生的创新精神和实践能力，增强学生的职业适应能力和可持续发展能力，把劳模精神、劳动精神、工匠精神贯穿教学体系。融入对学生职业道德和职业意识的培养，积极践行社会主义核心价值观，立足培养“明规范、强技能”的物流专业人才。</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（1）加强学生实际操作能力的培养，紧密结合“1+X”职业技能证书的考核，本课程教学可采用模拟情境、案例分析、任务驱动、实际训练、企业参观、从业人员讲座等方法来组织开展教学。</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充分利用现代化教育技术，配合教学设备、多媒体教学课件、数字化资源等手段，从学生实际出发，以快递服务的真实工作任务及其工作过程为依据进行教学设计，灵活运用理论讲授、理论知识运用、案例分析、角色扮演、实战体验并行的授课方式，使学生在学中做、做中学，以求达到最佳的学习效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bookmarkStart w:id="21" w:name="_Toc25243"/>
      <w:r>
        <w:rPr>
          <w:rFonts w:hint="eastAsia" w:ascii="仿宋_GB2312" w:hAnsi="仿宋_GB2312" w:eastAsia="仿宋_GB2312" w:cs="仿宋_GB2312"/>
          <w:sz w:val="32"/>
          <w:szCs w:val="32"/>
          <w:lang w:bidi="ar"/>
        </w:rPr>
        <w:t>2.学生考核评价方法</w:t>
      </w:r>
      <w:bookmarkEnd w:id="21"/>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学评价体现评价主体、评价方式、评价过程的多元化，注意吸收物流行企业参与，校内外评价结合，物流服务与管理专业相关职业技能鉴定与学业考核结合。采用过程性评价、结果性评价、终结性评价三个维度，同时还从学生态度、技能熟练度、项目完成完整度、团队合作的默契度四个方向来对学生进行评价。</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过程性评价，从情感态度、对应技能方向岗位能力、职业行为等多方面对学生在整个学习过程中的表现进行综合测评；结果性评价从完成项目的质量、技能的熟练程度等方面进行评价。过程性评价内容包括：参加学习的课时、学习过程的参与程度、过程成果、技能操作与应用。结果性评价内容包括：分小组汇报总结，上交项目实施报告，汇报演讲、项目答辩考核成绩等；终结性评价内容包括：技能课程成果、综合实训成果和实习实训成果三部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考核评价纳入一定的物流企业专业人员评价（课堂成果、项目实习评价）。各阶段评价重视对学生遵纪守法、规范操作等职业素养的形成，兼顾对环保意识、成本意识、安全意识的考核。 </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bookmarkStart w:id="22" w:name="_Toc30284"/>
      <w:r>
        <w:rPr>
          <w:rFonts w:hint="eastAsia" w:ascii="仿宋_GB2312" w:hAnsi="仿宋_GB2312" w:eastAsia="仿宋_GB2312" w:cs="仿宋_GB2312"/>
          <w:sz w:val="32"/>
          <w:szCs w:val="32"/>
          <w:lang w:bidi="ar"/>
        </w:rPr>
        <w:t>3.教学实施与保障</w:t>
      </w:r>
      <w:bookmarkEnd w:id="22"/>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（1）采用多媒体教室进行教学。</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（2）本课程教师已具备双师素质。教师应具备不断改革和创新的教育观念，能在传授专业知识和专业技能的同时，注重培养学生的职业道德和创新能力。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（3）建立校外实习实训基地，进入典型物流企业实训。</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（4）聘请校外物流专业人员举办经验分享会，拓展学生视野，贴近真实工作环境。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bookmarkStart w:id="23" w:name="_Toc25574"/>
      <w:r>
        <w:rPr>
          <w:rFonts w:hint="eastAsia" w:ascii="仿宋_GB2312" w:hAnsi="仿宋_GB2312" w:eastAsia="仿宋_GB2312" w:cs="仿宋_GB2312"/>
          <w:sz w:val="32"/>
          <w:szCs w:val="32"/>
          <w:lang w:bidi="ar"/>
        </w:rPr>
        <w:t>4.教材编写与选用</w:t>
      </w:r>
      <w:bookmarkEnd w:id="23"/>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按国家和地方教育行政部门规定的程序与办法选用教材，建议优先选用国家规划特色教材或省级重点建设教材、全国物流行指委组织编写的教材。或选用体现快递运营行业新理念、新技术、新设备、新模式等内容的高质量教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（2）教材编写建议挖掘区域企业资源，校企联合开发岗位引领，“课赛证”融通、突出职业能力培养的新形态教材，并开发课程教学课件、电子教案、微课资源和在线课程等数字化教学资源库。</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w:t>
      </w:r>
      <w:r>
        <w:rPr>
          <w:rFonts w:ascii="仿宋_GB2312" w:hAnsi="仿宋_GB2312" w:eastAsia="仿宋_GB2312" w:cs="仿宋_GB2312"/>
          <w:sz w:val="32"/>
          <w:szCs w:val="32"/>
          <w:lang w:bidi="ar"/>
        </w:rPr>
        <w:t>.</w:t>
      </w:r>
      <w:r>
        <w:rPr>
          <w:rFonts w:hint="eastAsia" w:ascii="仿宋_GB2312" w:hAnsi="仿宋_GB2312" w:eastAsia="仿宋_GB2312" w:cs="仿宋_GB2312"/>
          <w:sz w:val="32"/>
          <w:szCs w:val="32"/>
          <w:lang w:bidi="ar"/>
        </w:rPr>
        <w:t>授课进程建议表</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95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6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快递市场的知识和快递企业的分布</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快递业务的类型</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快递服务的基本流程</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新客户、老客户接单流程</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商务礼仪</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快递业务推介方法及接单业务流程</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快件验收流程、违法禁寄物品种类</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快件度量计价的方法及包装技术</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快件快速受理流程及运单填制要求</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快件信息录入作业的流程</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营业款交接流程、快件分拣内容</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咨询服务工作内容及查询工作内容</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投诉与理赔工作内容、交接流程</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投递地址的管理及投递路线的选择</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与客户交接内容及滞留件处理流程</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同城快件的快递业务流程和操作</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国内异地快件的快递业务流程和操作</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国际快件的快递业务流程和操作</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bl>
    <w:p>
      <w:pPr>
        <w:keepNext w:val="0"/>
        <w:keepLines w:val="0"/>
        <w:pageBreakBefore w:val="0"/>
        <w:wordWrap/>
        <w:overflowPunct/>
        <w:topLinePunct w:val="0"/>
        <w:bidi w:val="0"/>
        <w:snapToGrid w:val="0"/>
        <w:spacing w:line="320" w:lineRule="exact"/>
        <w:jc w:val="center"/>
        <w:rPr>
          <w:rFonts w:ascii="方正小标宋简体" w:hAnsi="方正小标宋简体" w:eastAsia="方正小标宋简体" w:cs="方正小标宋简体"/>
          <w:sz w:val="32"/>
          <w:szCs w:val="32"/>
        </w:rPr>
      </w:pPr>
    </w:p>
    <w:p>
      <w:pPr>
        <w:widowControl/>
        <w:jc w:val="left"/>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after="120" w:afterLines="50" w:line="560" w:lineRule="exact"/>
        <w:ind w:firstLine="640" w:firstLineChars="200"/>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叉车作业与管理课程标准</w:t>
      </w:r>
    </w:p>
    <w:p>
      <w:pPr>
        <w:keepNext w:val="0"/>
        <w:keepLines w:val="0"/>
        <w:pageBreakBefore w:val="0"/>
        <w:widowControl/>
        <w:kinsoku/>
        <w:wordWrap/>
        <w:overflowPunct/>
        <w:topLinePunct w:val="0"/>
        <w:autoSpaceDE w:val="0"/>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keepNext w:val="0"/>
        <w:keepLines w:val="0"/>
        <w:pageBreakBefore w:val="0"/>
        <w:widowControl/>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rPr>
        <w:t>叉车作业与管理是物流服务与管理专业的专业核心课程。通过学习叉车的基本结构、操作方法、设备维护保养等专业知识，使学生掌握叉车基本原理</w:t>
      </w:r>
      <w:r>
        <w:rPr>
          <w:rFonts w:hint="eastAsia" w:ascii="仿宋_GB2312" w:hAnsi="仿宋_GB2312" w:eastAsia="仿宋_GB2312" w:cs="仿宋_GB2312"/>
          <w:sz w:val="32"/>
          <w:szCs w:val="32"/>
          <w:lang w:bidi="ar"/>
        </w:rPr>
        <w:t>、叉车工属具、叉车前进倒退、叉车取货卸货等操作能力，培养学生的职业道德和工匠精神，提高学生综合素质和职业能力，为学生从事仓储相关工作打下基础。</w:t>
      </w:r>
    </w:p>
    <w:p>
      <w:pPr>
        <w:keepNext w:val="0"/>
        <w:keepLines w:val="0"/>
        <w:pageBreakBefore w:val="0"/>
        <w:widowControl/>
        <w:kinsoku/>
        <w:wordWrap/>
        <w:overflowPunct/>
        <w:topLinePunct w:val="0"/>
        <w:autoSpaceDE w:val="0"/>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val="0"/>
        <w:bidi w:val="0"/>
        <w:adjustRightIn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本课程的教学目标主要是使学生通过学习叉车的基础知识、实地练习叉车操作技能，使其在掌握叉车操作技能的前提下能更深刻地掌握叉车的理论知识。</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rPr>
        <w:t>能进行叉车的正确起步操作</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能操作叉车行驶</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rPr>
        <w:t>能绕“8”字型场地</w:t>
      </w:r>
      <w:r>
        <w:rPr>
          <w:rFonts w:hint="eastAsia" w:ascii="仿宋_GB2312" w:hAnsi="仿宋_GB2312" w:eastAsia="仿宋_GB2312" w:cs="仿宋_GB2312"/>
          <w:sz w:val="32"/>
          <w:szCs w:val="32"/>
          <w:lang w:bidi="ar"/>
        </w:rPr>
        <w:t xml:space="preserve"> ；</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w:t>
      </w:r>
      <w:r>
        <w:rPr>
          <w:rFonts w:hint="eastAsia" w:ascii="仿宋_GB2312" w:hAnsi="仿宋_GB2312" w:eastAsia="仿宋_GB2312" w:cs="仿宋_GB2312"/>
          <w:sz w:val="32"/>
          <w:szCs w:val="32"/>
        </w:rPr>
        <w:t>能完成“工”字型场地行驶</w:t>
      </w:r>
      <w:r>
        <w:rPr>
          <w:rFonts w:hint="eastAsia" w:ascii="仿宋_GB2312" w:hAnsi="仿宋_GB2312" w:eastAsia="仿宋_GB2312" w:cs="仿宋_GB2312"/>
          <w:sz w:val="32"/>
          <w:szCs w:val="32"/>
          <w:lang w:bidi="ar"/>
        </w:rPr>
        <w:t xml:space="preserve"> ；</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w:t>
      </w:r>
      <w:r>
        <w:rPr>
          <w:rFonts w:hint="eastAsia" w:ascii="仿宋_GB2312" w:hAnsi="仿宋_GB2312" w:eastAsia="仿宋_GB2312" w:cs="仿宋_GB2312"/>
          <w:sz w:val="32"/>
          <w:szCs w:val="32"/>
        </w:rPr>
        <w:t>能完成托盘的叉取，堆叠</w:t>
      </w:r>
      <w:r>
        <w:rPr>
          <w:rFonts w:hint="eastAsia" w:ascii="仿宋_GB2312" w:hAnsi="仿宋_GB2312" w:eastAsia="仿宋_GB2312" w:cs="仿宋_GB2312"/>
          <w:sz w:val="32"/>
          <w:szCs w:val="32"/>
          <w:lang w:bidi="ar"/>
        </w:rPr>
        <w:t xml:space="preserve"> ；</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w:t>
      </w:r>
      <w:r>
        <w:rPr>
          <w:rFonts w:hint="eastAsia" w:ascii="仿宋_GB2312" w:hAnsi="仿宋_GB2312" w:eastAsia="仿宋_GB2312" w:cs="仿宋_GB2312"/>
          <w:sz w:val="32"/>
          <w:szCs w:val="32"/>
        </w:rPr>
        <w:t>能载货绕“8”字型场地行驶</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w:t>
      </w:r>
      <w:r>
        <w:rPr>
          <w:rFonts w:hint="eastAsia" w:ascii="仿宋_GB2312" w:hAnsi="仿宋_GB2312" w:eastAsia="仿宋_GB2312" w:cs="仿宋_GB2312"/>
          <w:sz w:val="32"/>
          <w:szCs w:val="32"/>
        </w:rPr>
        <w:t>能载货完成“工”字型场地行驶</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（8）</w:t>
      </w:r>
      <w:r>
        <w:rPr>
          <w:rFonts w:hint="eastAsia" w:ascii="仿宋_GB2312" w:hAnsi="仿宋_GB2312" w:eastAsia="仿宋_GB2312" w:cs="仿宋_GB2312"/>
          <w:sz w:val="32"/>
          <w:szCs w:val="32"/>
        </w:rPr>
        <w:t>能独立完成叉车的简单维护保养工作。</w:t>
      </w:r>
      <w:r>
        <w:rPr>
          <w:rFonts w:hint="eastAsia" w:ascii="仿宋_GB2312" w:hAnsi="仿宋_GB2312" w:eastAsia="仿宋_GB2312" w:cs="仿宋_GB2312"/>
          <w:sz w:val="32"/>
          <w:szCs w:val="32"/>
          <w:lang w:bidi="ar"/>
        </w:rPr>
        <w:t xml:space="preserve"> </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ascii="仿宋_GB2312" w:hAnsi="仿宋_GB2312" w:eastAsia="仿宋_GB2312" w:cs="仿宋_GB2312"/>
          <w:sz w:val="32"/>
          <w:szCs w:val="32"/>
          <w:lang w:bidi="ar"/>
        </w:rPr>
        <w:t>.</w:t>
      </w:r>
      <w:r>
        <w:rPr>
          <w:rFonts w:hint="eastAsia" w:ascii="仿宋_GB2312" w:hAnsi="仿宋_GB2312" w:eastAsia="仿宋_GB2312" w:cs="仿宋_GB2312"/>
          <w:sz w:val="32"/>
          <w:szCs w:val="32"/>
          <w:lang w:bidi="ar"/>
        </w:rPr>
        <w:t>能力目标</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（1）能够区分叉车种类；</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（2）能够对叉车操作安全熟知；</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（3）能够对叉车工作面及道路的确定；</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（4）能够学会叉车前进倒退操作；</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（5）能够对叉车实现事故时的简单排查；</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（6）能够从案例中寻找共性，不断养成岗位要求需要的职业素养。</w:t>
      </w:r>
    </w:p>
    <w:p>
      <w:pPr>
        <w:keepNext w:val="0"/>
        <w:keepLines w:val="0"/>
        <w:pageBreakBefore w:val="0"/>
        <w:widowControl/>
        <w:kinsoku/>
        <w:wordWrap/>
        <w:overflowPunct/>
        <w:topLinePunct w:val="0"/>
        <w:autoSpaceDE w:val="0"/>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仿宋" w:hAnsi="仿宋" w:eastAsia="仿宋" w:cs="仿宋"/>
          <w:sz w:val="28"/>
          <w:szCs w:val="28"/>
        </w:rPr>
      </w:pPr>
      <w:r>
        <w:rPr>
          <w:rFonts w:ascii="仿宋_GB2312" w:hAnsi="仿宋_GB2312" w:eastAsia="仿宋_GB2312" w:cs="仿宋_GB2312"/>
          <w:sz w:val="32"/>
          <w:szCs w:val="32"/>
          <w:lang w:bidi="ar"/>
        </w:rPr>
        <w:t>90</w:t>
      </w:r>
      <w:r>
        <w:rPr>
          <w:rFonts w:hint="eastAsia" w:ascii="仿宋_GB2312" w:hAnsi="仿宋_GB2312" w:eastAsia="仿宋_GB2312" w:cs="仿宋_GB2312"/>
          <w:sz w:val="32"/>
          <w:szCs w:val="32"/>
          <w:lang w:bidi="ar"/>
        </w:rPr>
        <w:t>学时</w:t>
      </w:r>
    </w:p>
    <w:p>
      <w:pPr>
        <w:keepNext w:val="0"/>
        <w:keepLines w:val="0"/>
        <w:pageBreakBefore w:val="0"/>
        <w:widowControl/>
        <w:kinsoku/>
        <w:wordWrap/>
        <w:overflowPunct/>
        <w:topLinePunct w:val="0"/>
        <w:autoSpaceDE w:val="0"/>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 课程学分</w:t>
      </w:r>
    </w:p>
    <w:p>
      <w:pPr>
        <w:keepNext w:val="0"/>
        <w:keepLines w:val="0"/>
        <w:pageBreakBefore w:val="0"/>
        <w:kinsoku/>
        <w:wordWrap/>
        <w:overflowPunct/>
        <w:topLinePunct w:val="0"/>
        <w:autoSpaceDE w:val="0"/>
        <w:bidi w:val="0"/>
        <w:adjustRightInd w:val="0"/>
        <w:snapToGrid w:val="0"/>
        <w:spacing w:line="600" w:lineRule="exact"/>
        <w:ind w:firstLine="640" w:firstLineChars="200"/>
        <w:textAlignment w:val="baseline"/>
        <w:rPr>
          <w:rFonts w:ascii="楷体_GB2312" w:hAnsi="仿宋_GB2312" w:eastAsia="楷体_GB2312" w:cs="楷体_GB2312"/>
          <w:sz w:val="32"/>
          <w:szCs w:val="32"/>
          <w:lang w:bidi="ar"/>
        </w:rPr>
      </w:pPr>
      <w:r>
        <w:rPr>
          <w:rFonts w:ascii="仿宋_GB2312" w:hAnsi="仿宋_GB2312" w:eastAsia="仿宋_GB2312" w:cs="仿宋_GB2312"/>
          <w:sz w:val="32"/>
          <w:szCs w:val="32"/>
          <w:lang w:bidi="ar"/>
        </w:rPr>
        <w:t>5</w:t>
      </w:r>
      <w:r>
        <w:rPr>
          <w:rFonts w:hint="eastAsia" w:ascii="仿宋_GB2312" w:hAnsi="仿宋_GB2312" w:eastAsia="仿宋_GB2312" w:cs="仿宋_GB2312"/>
          <w:sz w:val="32"/>
          <w:szCs w:val="32"/>
          <w:lang w:bidi="ar"/>
        </w:rPr>
        <w:t>学分</w:t>
      </w:r>
    </w:p>
    <w:p>
      <w:pPr>
        <w:keepNext w:val="0"/>
        <w:keepLines w:val="0"/>
        <w:pageBreakBefore w:val="0"/>
        <w:widowControl/>
        <w:numPr>
          <w:ilvl w:val="0"/>
          <w:numId w:val="0"/>
        </w:numPr>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bidi="ar"/>
        </w:rPr>
        <w:t>课程内容和要求</w:t>
      </w:r>
    </w:p>
    <w:tbl>
      <w:tblPr>
        <w:tblStyle w:val="15"/>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498"/>
        <w:gridCol w:w="3945"/>
        <w:gridCol w:w="211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序号</w:t>
            </w:r>
          </w:p>
        </w:tc>
        <w:tc>
          <w:tcPr>
            <w:tcW w:w="1498"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教学项目</w:t>
            </w:r>
          </w:p>
        </w:tc>
        <w:tc>
          <w:tcPr>
            <w:tcW w:w="3945"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教学内容与教学要求</w:t>
            </w:r>
          </w:p>
        </w:tc>
        <w:tc>
          <w:tcPr>
            <w:tcW w:w="2115"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教学活动设计建议</w:t>
            </w:r>
          </w:p>
        </w:tc>
        <w:tc>
          <w:tcPr>
            <w:tcW w:w="1065"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5"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49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widowControl/>
              <w:tabs>
                <w:tab w:val="left" w:pos="312"/>
              </w:tabs>
              <w:kinsoku w:val="0"/>
              <w:autoSpaceDE w:val="0"/>
              <w:autoSpaceDN w:val="0"/>
              <w:adjustRightInd w:val="0"/>
              <w:snapToGrid w:val="0"/>
              <w:spacing w:line="360" w:lineRule="exact"/>
              <w:jc w:val="center"/>
              <w:textAlignment w:val="baseline"/>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叉车安全</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与维护</w:t>
            </w:r>
          </w:p>
        </w:tc>
        <w:tc>
          <w:tcPr>
            <w:tcW w:w="394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1.会辨认各种叉车，描述各种叉车区别；</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2.理解叉车操作安全重要性，养成良好的安全生产习惯；</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3.能描述叉车级叉车工属具相关属于。</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1.掌握叉车使用中的安全保护以及紧急危险情况的应急处理；</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2.掌握叉车充电知识；</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3.掌握叉车添加润滑油技巧；</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4.掌握电瓶液保养知识。</w:t>
            </w:r>
          </w:p>
        </w:tc>
        <w:tc>
          <w:tcPr>
            <w:tcW w:w="2115"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1.多媒体播放叉车安全事故及处理的相关视频；</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2.实训室内教师演示叉车充电，添加润滑油，添加电瓶液及电瓶的保养技巧。</w:t>
            </w:r>
          </w:p>
        </w:tc>
        <w:tc>
          <w:tcPr>
            <w:tcW w:w="106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80" w:lineRule="exact"/>
              <w:ind w:firstLine="210" w:firstLineChars="100"/>
              <w:jc w:val="both"/>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49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叉车的认知</w:t>
            </w:r>
          </w:p>
        </w:tc>
        <w:tc>
          <w:tcPr>
            <w:tcW w:w="394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1.叉车有哪些种类和特点；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2.根据货物属性形状作业选择合适的叉车作业。</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1.了解叉车的功能、叉车的类型</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、叉车的特点、叉车的型号；</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2.了解叉车的主要性能参数。</w:t>
            </w:r>
          </w:p>
        </w:tc>
        <w:tc>
          <w:tcPr>
            <w:tcW w:w="2115"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1.多媒体播放各种叉车图片；</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2.叉车实训室内带领学生参观叉车；</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3.通过教师的演练操作让学生对叉车有一个基础的认知。</w:t>
            </w:r>
          </w:p>
        </w:tc>
        <w:tc>
          <w:tcPr>
            <w:tcW w:w="106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149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widowControl/>
              <w:tabs>
                <w:tab w:val="left" w:pos="312"/>
              </w:tabs>
              <w:kinsoku w:val="0"/>
              <w:autoSpaceDE w:val="0"/>
              <w:autoSpaceDN w:val="0"/>
              <w:adjustRightInd w:val="0"/>
              <w:snapToGrid w:val="0"/>
              <w:spacing w:line="360" w:lineRule="exact"/>
              <w:jc w:val="center"/>
              <w:textAlignment w:val="baseline"/>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叉车起步</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停车操作</w:t>
            </w:r>
          </w:p>
        </w:tc>
        <w:tc>
          <w:tcPr>
            <w:tcW w:w="394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1.又车安全操作知识，树立正确职业观念，养成良好职业素养；</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2.行驶叉车确定道路最小宽度确定和工作年的确定。</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1.掌握叉车起步正确流程进行操作；</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2.掌握叉车停车正确流程进行操作。</w:t>
            </w:r>
          </w:p>
        </w:tc>
        <w:tc>
          <w:tcPr>
            <w:tcW w:w="2115"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1.教师上车演示车辆起步停车的操作流程；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2.学生轮流进行基础操作，其余学生可边看边讨论。</w:t>
            </w:r>
          </w:p>
        </w:tc>
        <w:tc>
          <w:tcPr>
            <w:tcW w:w="106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149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项目四</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叉车行驶操作</w:t>
            </w:r>
          </w:p>
        </w:tc>
        <w:tc>
          <w:tcPr>
            <w:tcW w:w="394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1.叉车的前进和倒退操作的规范性以及注意事项；</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2.叉车L形前进、倒退操作的规范性以及注意事项。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1.掌握叉车操作正确规范进行前进操作；</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2.掌握叉车操作正确规范进行后退操作。</w:t>
            </w:r>
          </w:p>
        </w:tc>
        <w:tc>
          <w:tcPr>
            <w:tcW w:w="2115"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1.教师上车演示车辆正确前进后退操作；</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2.学生上车练习，教师在旁边指导；</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3.其余学生在旁观看交流。</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149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项目五</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托盘叉取</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训练</w:t>
            </w:r>
          </w:p>
        </w:tc>
        <w:tc>
          <w:tcPr>
            <w:tcW w:w="394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1.叉车U形前进、倒退操作的规范性以及注意事项；</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2.叉车S形路线前进操作的规范性以及注意事项。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1.熟悉叉取堆叠托盘的规则；</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2.掌握叉取堆叠托盘的技巧。</w:t>
            </w:r>
          </w:p>
        </w:tc>
        <w:tc>
          <w:tcPr>
            <w:tcW w:w="211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1.教师演示叉取堆叠托盘，并注重讲解容易出现错的的地方；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2.学生上车练习，教师在旁指导；</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3.个小组进行比赛。优胜小组发表练习心得演讲。</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149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项目六</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叉车转向</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技术训练</w:t>
            </w:r>
          </w:p>
        </w:tc>
        <w:tc>
          <w:tcPr>
            <w:tcW w:w="394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1.叉车S形路线倒退操作的规范性以及注意事项；</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2.窄巷内前进倒退的驾驶能做到直转90度并且准确对正目标。</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1.掌握在“8”字型场地内叉取托盘的技巧；</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2.掌握在“8”字型场地内叉托盘前进的技巧；</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3.掌握在“8”字型场地内叉取托盘后退的技巧。</w:t>
            </w:r>
          </w:p>
        </w:tc>
        <w:tc>
          <w:tcPr>
            <w:tcW w:w="2115"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1.教师上车演示；</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2.学生上车练习，教师在旁边指导；</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3.其余学生分组观看交流；</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4.各小组进行比赛。优胜小组发表练习心得演讲。</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149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项目七</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叉车精准</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技术训练</w:t>
            </w:r>
          </w:p>
        </w:tc>
        <w:tc>
          <w:tcPr>
            <w:tcW w:w="394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1.倒车入库操作；</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2.叉车叉取货物及卸货作业。</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1.掌握在“工”字型场地内叉取托盘的技巧；</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2.掌握“工”字型场地内通道行驶技巧。</w:t>
            </w:r>
          </w:p>
        </w:tc>
        <w:tc>
          <w:tcPr>
            <w:tcW w:w="2115"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1.教师上车演示；</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2.学生上车练习，教师在旁边指导；</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3.其余学生分组观看交流；</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4.各小组进行比赛。优胜小组发表练习心得演讲。</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 xml:space="preserve"> </w:t>
            </w:r>
            <w:r>
              <w:rPr>
                <w:rFonts w:hint="eastAsia" w:ascii="仿宋_GB2312" w:hAnsi="仿宋_GB2312" w:eastAsia="仿宋_GB2312" w:cs="仿宋_GB2312"/>
                <w:kern w:val="0"/>
                <w:sz w:val="21"/>
                <w:szCs w:val="21"/>
                <w:lang w:bidi="ar"/>
              </w:rPr>
              <w:t>20</w:t>
            </w:r>
          </w:p>
        </w:tc>
      </w:tr>
    </w:tbl>
    <w:p>
      <w:pPr>
        <w:keepNext w:val="0"/>
        <w:keepLines w:val="0"/>
        <w:pageBreakBefore w:val="0"/>
        <w:widowControl/>
        <w:kinsoku/>
        <w:wordWrap/>
        <w:overflowPunct/>
        <w:topLinePunct w:val="0"/>
        <w:autoSpaceDE w:val="0"/>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rPr>
        <w:t>立足于加强学生实际操作能力的培养，紧密结合职业技能证书的考核，本课程教学可采用模拟情境、视频分析、任务驱动、实际训练等方法，来开展教学。</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充分利用现代化教育技术，配合实物教学设备、多媒体教学课件、数字化资源等手段，从学生实际出发，以叉车训练的真实工作任务及其工作过程为依据进行教学设计，教、学、做结合，理论与实践一体化，灵活运用理论讲授、理论知识运用、案例分析、角色扮演、实战体验并行的授课方式，使学生在学中做、做中学，以求达到最佳的学习效果。</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坚持用多元评价方式，注重对学生学习态度、思维能力、动手能力、解决问题能力等方面进行综合考核，客观评价学生的学习情况</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w:t>
      </w:r>
      <w:r>
        <w:rPr>
          <w:rFonts w:hint="eastAsia" w:ascii="仿宋_GB2312" w:hAnsi="仿宋_GB2312" w:eastAsia="仿宋_GB2312" w:cs="仿宋_GB2312"/>
          <w:sz w:val="32"/>
          <w:szCs w:val="32"/>
        </w:rPr>
        <w:t>过程性评价中注重运用所掌握的叉车的使用的知识对学生操作叉车过程进行评价、与原理，进行物流中心作业合理性的的评价，同时也要对学生在课堂讨论、小组合作等活动中所表现的学习态度、合作意识等方面进行评价。结果性评价可以采用笔试、实际操作等多种方式进行评价。</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（1）课堂教学条件：多媒体教室、多媒体设备、教学录像、视频等资料。</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（2）实训条件：参照物流实训室以及各种实训设备标准进行，建议师生比例在1：15～1：20。</w:t>
      </w:r>
    </w:p>
    <w:p>
      <w:pPr>
        <w:keepNext w:val="0"/>
        <w:keepLines w:val="0"/>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主要以山东省的经济发展为基础，结合物流企业的岗位需求，充分体现职业教育特色与本省特点，以实用为原则，引入必需的理论知识，增加理实一体化教学内容，以便采用多种教学方法灵活组织教学。</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教材内容表达必须精炼、准确、科学，体现先进性、通用性、实用性；合理吸收本专业新思想、新理念、新技术、新设备等。</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教材形式应图文并茂，尽量多采用图片、流程图等，语言生动，版式活泼，符合中职学生的学习特点。</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5.数字化教学资源开发</w:t>
      </w:r>
    </w:p>
    <w:p>
      <w:pPr>
        <w:keepNext w:val="0"/>
        <w:keepLines w:val="0"/>
        <w:pageBreakBefore w:val="0"/>
        <w:kinsoku/>
        <w:wordWrap/>
        <w:overflowPunct/>
        <w:topLinePunct w:val="0"/>
        <w:autoSpaceDE w:val="0"/>
        <w:autoSpaceDN w:val="0"/>
        <w:bidi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为激发学生的学习本课程的兴趣，应创设形象生动的教学情境，尽可能采用现代化教学手段，鼓励学校通过购买、检索、校企合作或者自主研发多媒体课件、挂图、实物教具、影像资料、电子教案、试题库等数字化教学资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ascii="仿宋_GB2312" w:hAnsi="仿宋_GB2312" w:eastAsia="仿宋_GB2312" w:cs="仿宋_GB2312"/>
          <w:sz w:val="32"/>
          <w:szCs w:val="32"/>
          <w:lang w:bidi="ar"/>
        </w:rPr>
        <w:t>6</w:t>
      </w:r>
      <w:r>
        <w:rPr>
          <w:rFonts w:hint="eastAsia" w:ascii="仿宋_GB2312" w:hAnsi="仿宋_GB2312" w:eastAsia="仿宋_GB2312" w:cs="仿宋_GB2312"/>
          <w:sz w:val="32"/>
          <w:szCs w:val="32"/>
          <w:lang w:bidi="ar"/>
        </w:rPr>
        <w:t>.授课进程建议表</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080"/>
        <w:gridCol w:w="1140"/>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834"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4080"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140"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46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仓库设备认识，叉车的初识</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掌握叉车充电知识</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叉车的功能和类型</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叉车的特点和型号</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掌握叉车前进倒退操作流程</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掌握叉车正确停车</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L形倒前进倒退操作</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U形前进倒退操作</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S形前进倒退操作</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熟悉八步取货卸货步骤和操作</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熟悉八步卸货步骤操作</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叉车拆码垛作业</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叉车带货工字型路线作业</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掌握在“8”字场地叉取货作业</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叉车“工”字形叉取货作业</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叉车集装箱掏箱作业</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窄巷道行车</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4"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408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叉车综合操作作业</w:t>
            </w:r>
          </w:p>
        </w:tc>
        <w:tc>
          <w:tcPr>
            <w:tcW w:w="1140"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2468" w:type="dxa"/>
            <w:vAlign w:val="center"/>
          </w:tcPr>
          <w:p>
            <w:pPr>
              <w:keepNext w:val="0"/>
              <w:keepLines w:val="0"/>
              <w:pageBreakBefore w:val="0"/>
              <w:wordWrap/>
              <w:overflowPunct/>
              <w:topLinePunct w:val="0"/>
              <w:autoSpaceDE w:val="0"/>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bl>
    <w:p>
      <w:pPr>
        <w:snapToGrid w:val="0"/>
        <w:spacing w:after="120" w:afterLines="50" w:line="56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国际货代实务课程标准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课程性质与任务</w:t>
      </w:r>
    </w:p>
    <w:p>
      <w:pPr>
        <w:widowControl/>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sz w:val="32"/>
          <w:szCs w:val="32"/>
          <w:lang w:bidi="ar"/>
        </w:rPr>
        <w:t>本课程</w:t>
      </w:r>
      <w:r>
        <w:rPr>
          <w:rFonts w:hint="eastAsia" w:ascii="仿宋" w:hAnsi="仿宋" w:eastAsia="仿宋" w:cs="仿宋"/>
          <w:kern w:val="0"/>
          <w:sz w:val="32"/>
          <w:szCs w:val="32"/>
          <w:lang w:bidi="ar"/>
        </w:rPr>
        <w:t>是物流服务与管理专业的一门专业</w:t>
      </w:r>
      <w:r>
        <w:rPr>
          <w:rFonts w:hint="eastAsia" w:ascii="仿宋" w:hAnsi="仿宋" w:eastAsia="仿宋" w:cs="仿宋"/>
          <w:sz w:val="32"/>
          <w:szCs w:val="32"/>
          <w:lang w:bidi="ar"/>
        </w:rPr>
        <w:t>核心课程。通过学</w:t>
      </w:r>
      <w:r>
        <w:rPr>
          <w:rFonts w:hint="eastAsia" w:ascii="仿宋" w:hAnsi="仿宋" w:eastAsia="仿宋" w:cs="仿宋"/>
          <w:kern w:val="0"/>
          <w:sz w:val="32"/>
          <w:szCs w:val="32"/>
          <w:lang w:bidi="ar"/>
        </w:rPr>
        <w:t>习国际货代实务的相关工作知识和基本技能等专业知识，使学生能够掌握国际货代实务服务工作的基本职业能力；具有职业意识培养和职业道德教育，提高学生的综合素质与职业能力，能增强学生适应职业变化的能力，培养学生的职业道德和工匠精神，提高学生综合素质和职业能力，为学生后续其他专业课程的学习打下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kern w:val="0"/>
          <w:sz w:val="32"/>
          <w:szCs w:val="32"/>
          <w:lang w:bidi="ar"/>
        </w:rPr>
        <w:t>（1）具有坚定的政治方向，拥护中国共产党领导和中国特色社会主义制度，具备社会主义核心价值观，理想信念坚定、民族自豪感强烈、爱国情怀深厚；</w:t>
      </w:r>
    </w:p>
    <w:p>
      <w:pPr>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kern w:val="0"/>
          <w:sz w:val="32"/>
          <w:szCs w:val="32"/>
          <w:lang w:bidi="ar"/>
        </w:rPr>
        <w:t>（2）具有良好的思想品德修养和职业道德素养；</w:t>
      </w:r>
    </w:p>
    <w:p>
      <w:pPr>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kern w:val="0"/>
          <w:sz w:val="32"/>
          <w:szCs w:val="32"/>
          <w:lang w:bidi="ar"/>
        </w:rPr>
        <w:t>（3）具有严谨的学习态度，良好的学习习惯；</w:t>
      </w:r>
    </w:p>
    <w:p>
      <w:pPr>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kern w:val="0"/>
          <w:sz w:val="32"/>
          <w:szCs w:val="32"/>
          <w:lang w:bidi="ar"/>
        </w:rPr>
        <w:t>（4）具有耐心细致的工作作风和严肃认真的工作态度；</w:t>
      </w:r>
    </w:p>
    <w:p>
      <w:pPr>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kern w:val="0"/>
          <w:sz w:val="32"/>
          <w:szCs w:val="32"/>
          <w:lang w:bidi="ar"/>
        </w:rPr>
        <w:t>（5）具有良好的安全生产、节能环保等职业意识；</w:t>
      </w:r>
    </w:p>
    <w:p>
      <w:pPr>
        <w:autoSpaceDE w:val="0"/>
        <w:adjustRightInd w:val="0"/>
        <w:snapToGrid w:val="0"/>
        <w:spacing w:line="560" w:lineRule="exact"/>
        <w:ind w:firstLine="640" w:firstLineChars="200"/>
        <w:textAlignment w:val="baseline"/>
        <w:rPr>
          <w:rFonts w:ascii="仿宋" w:hAnsi="仿宋" w:eastAsia="仿宋" w:cs="仿宋"/>
          <w:kern w:val="0"/>
          <w:sz w:val="32"/>
          <w:szCs w:val="32"/>
          <w:lang w:bidi="ar"/>
        </w:rPr>
      </w:pPr>
      <w:r>
        <w:rPr>
          <w:rFonts w:hint="eastAsia" w:ascii="仿宋" w:hAnsi="仿宋" w:eastAsia="仿宋" w:cs="仿宋"/>
          <w:kern w:val="0"/>
          <w:sz w:val="32"/>
          <w:szCs w:val="32"/>
          <w:lang w:bidi="ar"/>
        </w:rPr>
        <w:t>（6）具有科学探索精神与创新意识。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（1）掌握国际货代的职责范围和服务对象；明确国际货代公司内部岗位的职责分工；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（2）掌握海运、陆运、空运及多式联运等各种运输方式的基本特点及实务运作；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（3）掌握海陆空运等重要单证的制作要领；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（4）掌握国际物流运作流程及货物仓储与养护；</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（5）掌握世界贸易主要航线、港口所处的位置、转运以及内陆解散地；</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（6）掌握不同地区的港口习惯和海关程序；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7</w:t>
      </w:r>
      <w:r>
        <w:rPr>
          <w:rFonts w:hint="eastAsia" w:ascii="仿宋_GB2312" w:hAnsi="仿宋_GB2312" w:eastAsia="仿宋_GB2312" w:cs="仿宋_GB2312"/>
          <w:sz w:val="32"/>
          <w:szCs w:val="32"/>
          <w:lang w:bidi="ar"/>
        </w:rPr>
        <w:t>）掌握有关国际货运及货代的国际公约、惯例和法律法规。</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（1）能够熟悉国际货物运输过程的实务流程；</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（2）能够熟悉国际货代的整个工作流程；</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（3）能够掌握对运输方式选择的基本思路；</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（4）能够正确处理各种运费的计算；</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（5）能够熟悉各种方式货代的管理的方法；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（6）能够正确缮制国际货代实务的单据；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7</w:t>
      </w:r>
      <w:r>
        <w:rPr>
          <w:rFonts w:hint="eastAsia" w:ascii="仿宋_GB2312" w:hAnsi="仿宋_GB2312" w:eastAsia="仿宋_GB2312" w:cs="仿宋_GB2312"/>
          <w:sz w:val="32"/>
          <w:szCs w:val="32"/>
          <w:lang w:bidi="ar"/>
        </w:rPr>
        <w:t>）能够熟练操作相关港口船务软件。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autoSpaceDE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54学时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autoSpaceDE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tbl>
      <w:tblPr>
        <w:tblStyle w:val="15"/>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060"/>
        <w:gridCol w:w="3527"/>
        <w:gridCol w:w="225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06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527"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25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20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0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overflowPunct w:val="0"/>
              <w:spacing w:line="360" w:lineRule="exac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国际货代实务认知</w:t>
            </w:r>
          </w:p>
        </w:tc>
        <w:tc>
          <w:tcPr>
            <w:tcW w:w="3527"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1.掌握国际货代实务的法律责任与地位、权利与义务；</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2.熟悉国际货代企业的经营范围、业务内容与流程；</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3.掌握国际货代实务人的服务对象、应遵守的基本行为规范；</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4.了解国际货代实务企业各种相关业务经营资质的申请条件、申请文件、审批程序。</w:t>
            </w:r>
          </w:p>
          <w:p>
            <w:pPr>
              <w:widowControl/>
              <w:kinsoku w:val="0"/>
              <w:autoSpaceDE w:val="0"/>
              <w:autoSpaceDN w:val="0"/>
              <w:adjustRightInd w:val="0"/>
              <w:snapToGrid w:val="0"/>
              <w:spacing w:line="34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1.能识别国际货代企业的经营范围、业务内容与流程；</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2.说出国际货代实务的法律责任与地位、权利与义务；</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3.了解国际货代实务企业各种相关业务经营资质的相关程序。</w:t>
            </w:r>
          </w:p>
        </w:tc>
        <w:tc>
          <w:tcPr>
            <w:tcW w:w="225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1.网络查询知名货运代理企业，了解货运代理业的主管部门和行业协会组织；</w:t>
            </w:r>
          </w:p>
          <w:p>
            <w:pPr>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2.任务驱动：角色扮演，成立一家国际货代实务公司；</w:t>
            </w:r>
          </w:p>
          <w:p>
            <w:pPr>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3.提供课后参考资料及网络资料，拓展学生的视野，培养学生的家国情怀。</w:t>
            </w:r>
          </w:p>
        </w:tc>
        <w:tc>
          <w:tcPr>
            <w:tcW w:w="120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0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overflowPunct w:val="0"/>
              <w:spacing w:line="360" w:lineRule="exact"/>
              <w:jc w:val="center"/>
              <w:rPr>
                <w:rFonts w:ascii="仿宋_GB2312" w:hAnsi="仿宋_GB2312" w:eastAsia="仿宋_GB2312" w:cs="仿宋_GB2312"/>
                <w:kern w:val="0"/>
                <w:szCs w:val="21"/>
                <w:lang w:eastAsia="en-US"/>
              </w:rPr>
            </w:pPr>
            <w:r>
              <w:rPr>
                <w:rFonts w:hint="eastAsia" w:ascii="仿宋_GB2312" w:hAnsi="仿宋_GB2312" w:eastAsia="仿宋_GB2312" w:cs="仿宋_GB2312"/>
                <w:kern w:val="0"/>
                <w:szCs w:val="21"/>
                <w:lang w:bidi="ar"/>
              </w:rPr>
              <w:t>国际海运业务</w:t>
            </w:r>
          </w:p>
        </w:tc>
        <w:tc>
          <w:tcPr>
            <w:tcW w:w="3527"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1.了解有关船舶和世界主要的船公司；</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2.掌握提单业务的基本理论与操作规程；</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3.掌握船期表的看法；</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4.掌握班轮货运代理流程；</w:t>
            </w:r>
          </w:p>
          <w:p>
            <w:pPr>
              <w:widowControl/>
              <w:kinsoku w:val="0"/>
              <w:autoSpaceDE w:val="0"/>
              <w:autoSpaceDN w:val="0"/>
              <w:adjustRightInd w:val="0"/>
              <w:snapToGrid w:val="0"/>
              <w:spacing w:line="340" w:lineRule="exact"/>
              <w:textAlignment w:val="baseline"/>
              <w:rPr>
                <w:rFonts w:ascii="仿宋_GB2312" w:hAnsi="仿宋_GB2312" w:eastAsia="仿宋_GB2312" w:cs="仿宋_GB2312"/>
                <w:szCs w:val="21"/>
              </w:rPr>
            </w:pPr>
            <w:r>
              <w:rPr>
                <w:rFonts w:hint="eastAsia" w:ascii="仿宋_GB2312" w:hAnsi="仿宋_GB2312" w:eastAsia="仿宋_GB2312" w:cs="仿宋_GB2312"/>
                <w:kern w:val="0"/>
                <w:szCs w:val="21"/>
                <w:lang w:bidi="ar"/>
              </w:rPr>
              <w:t>5.能缮制各种货运单证；</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6.掌握各类租船合同的基本内容；</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7.掌握滞期费和速遣费计算。</w:t>
            </w:r>
          </w:p>
          <w:p>
            <w:pPr>
              <w:widowControl/>
              <w:kinsoku w:val="0"/>
              <w:autoSpaceDE w:val="0"/>
              <w:autoSpaceDN w:val="0"/>
              <w:adjustRightInd w:val="0"/>
              <w:snapToGrid w:val="0"/>
              <w:spacing w:line="34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1.学会并使用提单业务的基本理论与操作规程、各类租船合同的基本内容和班轮货运代理流程；</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2.掌握滞期费和速遣费的计算；</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3.认识有关船舶和船公司。</w:t>
            </w:r>
          </w:p>
        </w:tc>
        <w:tc>
          <w:tcPr>
            <w:tcW w:w="225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1.播放视频，熟悉船舶、港口、航线、集装箱等；</w:t>
            </w:r>
          </w:p>
          <w:p>
            <w:pPr>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2.任务驱动：角色扮演，分别以托运人和承运人的身份，填制托运单和海运提单；</w:t>
            </w:r>
          </w:p>
          <w:p>
            <w:pPr>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3.团队合作，分组模拟国际货代实务公司接受委托，办理海运出口班轮集装箱运输业务和杂货班轮运输业务，并描述货物的出口业务流程。</w:t>
            </w:r>
          </w:p>
        </w:tc>
        <w:tc>
          <w:tcPr>
            <w:tcW w:w="120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0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overflowPunct w:val="0"/>
              <w:spacing w:line="360" w:lineRule="exact"/>
              <w:jc w:val="center"/>
              <w:rPr>
                <w:rFonts w:ascii="仿宋_GB2312" w:hAnsi="仿宋_GB2312" w:eastAsia="仿宋_GB2312" w:cs="仿宋_GB2312"/>
                <w:kern w:val="0"/>
                <w:szCs w:val="21"/>
                <w:lang w:eastAsia="en-US"/>
              </w:rPr>
            </w:pPr>
            <w:r>
              <w:rPr>
                <w:rFonts w:hint="eastAsia" w:ascii="仿宋_GB2312" w:hAnsi="仿宋_GB2312" w:eastAsia="仿宋_GB2312" w:cs="仿宋_GB2312"/>
                <w:kern w:val="0"/>
                <w:szCs w:val="21"/>
                <w:lang w:bidi="ar"/>
              </w:rPr>
              <w:t>国际空运业务</w:t>
            </w:r>
          </w:p>
        </w:tc>
        <w:tc>
          <w:tcPr>
            <w:tcW w:w="352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1.了解国际航空货运方式的种类与特点；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2.掌握各类国际航空代理人的特点与业务范围；</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3.掌握国际航空货物托运书和货运单的填制；</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4.掌握国际航空货物运输费用的计算；</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szCs w:val="21"/>
              </w:rPr>
            </w:pPr>
            <w:r>
              <w:rPr>
                <w:rFonts w:hint="eastAsia" w:ascii="仿宋_GB2312" w:hAnsi="仿宋_GB2312" w:eastAsia="仿宋_GB2312" w:cs="仿宋_GB2312"/>
                <w:kern w:val="0"/>
                <w:szCs w:val="21"/>
                <w:lang w:bidi="ar"/>
              </w:rPr>
              <w:t>5.掌握国际航空进出口货物运输业务流程；</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6.了解航空特快专递的特点及业务程序。</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1.能熟练背诵好国际航空进出口货物运输业务流程；</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2.学会国际航空货物托运书和货运单的填制和国际航空货物运输费用的计算；</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3.认识航空特快专递的特点及业务程序；</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4.了解国际航空货运方式的种类与特点。</w:t>
            </w:r>
          </w:p>
        </w:tc>
        <w:tc>
          <w:tcPr>
            <w:tcW w:w="225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1.国际航空货物托运书、货运单等单据的填制练习；</w:t>
            </w:r>
          </w:p>
          <w:p>
            <w:pPr>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2.国际航空货物运输费用的计算；</w:t>
            </w:r>
          </w:p>
          <w:p>
            <w:pPr>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3.任务驱动：模拟国际航空进出口货物运输业务流程；</w:t>
            </w:r>
          </w:p>
          <w:p>
            <w:pPr>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bidi="ar"/>
              </w:rPr>
              <w:t>仔细认真，遵循单单相符、单货相符的原则。</w:t>
            </w:r>
          </w:p>
        </w:tc>
        <w:tc>
          <w:tcPr>
            <w:tcW w:w="120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0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项目四</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国际陆运业务</w:t>
            </w:r>
          </w:p>
        </w:tc>
        <w:tc>
          <w:tcPr>
            <w:tcW w:w="352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0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1.掌握国际铁路货物联运、内地与港澳之间铁路货物运送、国际公路货物运输等业务的基本业务流程；</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2.掌握国际铁路货物联运、内地与港澳之间铁路货物运送、国际公路货物运输有关单证的填制及其流转程序；</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3.掌握中欧班列的货运流程。</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1.能识别好国际铁路货物联运、内地与港澳之间铁路货物运送、国际公路货物运输有关单证的填制及其流转程序；</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2.掌握好国际铁路货物联运、内地与港澳之间铁路货物运送、国际公路货物运输等业务的基本业务流程；</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3.理解中欧班列的货运流程。</w:t>
            </w:r>
          </w:p>
        </w:tc>
        <w:tc>
          <w:tcPr>
            <w:tcW w:w="225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1.任务驱动：模拟国际铁路货物联运、内地与港澳之间铁路货物运送、国际公路货物运输等业务的基本业务流程；</w:t>
            </w:r>
          </w:p>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2.国际铁路货物联运、内地与港澳之间铁路货物运送、国际公路货物运输有关单证的填制练习；</w:t>
            </w:r>
          </w:p>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3.知识拓展：中欧班列的意义和作用。</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10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项目五</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国际多式联运业务</w:t>
            </w:r>
          </w:p>
        </w:tc>
        <w:tc>
          <w:tcPr>
            <w:tcW w:w="3527"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1.了解国际多式联运的特征与操作方法；</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2.掌握国际多式联运代理的流程；</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3.掌握国际多式联运代理单据的填制；</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4.理解国际多式联运业务中常见的问题的解决方式。</w:t>
            </w:r>
          </w:p>
          <w:p>
            <w:pPr>
              <w:widowControl/>
              <w:kinsoku w:val="0"/>
              <w:autoSpaceDE w:val="0"/>
              <w:autoSpaceDN w:val="0"/>
              <w:adjustRightInd w:val="0"/>
              <w:snapToGrid w:val="0"/>
              <w:spacing w:line="34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1.学会国际多式联运代理的流程；</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2.掌握国际多式联运代理单据的填制和国际多式联运业务中常见的问题的解决方式；</w:t>
            </w:r>
          </w:p>
          <w:p>
            <w:pPr>
              <w:widowControl/>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3.认识国际多式联运的特征与操作方法。</w:t>
            </w:r>
          </w:p>
        </w:tc>
        <w:tc>
          <w:tcPr>
            <w:tcW w:w="225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1.国际多式联运代理单据填制练习；</w:t>
            </w:r>
          </w:p>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2.任务驱动：角色扮演，模拟国际多式联运代理流程；</w:t>
            </w:r>
          </w:p>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3.重点知识拓展：我国的“一带一路”国家战略。</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10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项目六</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国际货代业务综合实训</w:t>
            </w:r>
          </w:p>
        </w:tc>
        <w:tc>
          <w:tcPr>
            <w:tcW w:w="3527"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综合运用国际货代所学内容，进行各种货代业务，并能灵活处理突发问题。</w:t>
            </w:r>
          </w:p>
          <w:p>
            <w:pPr>
              <w:widowControl/>
              <w:kinsoku w:val="0"/>
              <w:autoSpaceDE w:val="0"/>
              <w:autoSpaceDN w:val="0"/>
              <w:adjustRightInd w:val="0"/>
              <w:snapToGrid w:val="0"/>
              <w:spacing w:line="34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合理运用国际货代所学内容，能灵活处理突发问题。</w:t>
            </w:r>
          </w:p>
        </w:tc>
        <w:tc>
          <w:tcPr>
            <w:tcW w:w="225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1.任务驱动：角色扮演，设立国际货代实务公司；</w:t>
            </w:r>
          </w:p>
          <w:p>
            <w:pPr>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2.模拟开展各类货代业务。</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为使所学知识更好纳入学生已有知识体系，激发学生学习的兴趣和学习的积极性，培养学生实践操作能力，课堂上通过举例、比较、说明、解释、归纳等讲授方式，突出重点、突破难点，深化专业知识，使得学生能系统、全面、深刻地理解每个教学项目的整体结构、相关要点及知识点之间的区别与联系等。关于国际货代实务业务的应用、“一带一路”国家战略的政策、中欧班列货运应用等内容可以采用相关案例进行具体教学，培养学生灵活运用知识的能力、分析问题，解决问题的能力，口头及书面表达能力以及团队合作精神。对于国际货代实务业务流程的学习采用任务驱动法，出示相关教学任务，学生带着任务来学习，可以通过小组讨论、上网查资料解决某一知识点，培养学生的自主学习能力以及团结协作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3</w:t>
      </w:r>
      <w:r>
        <w:rPr>
          <w:rFonts w:hint="eastAsia" w:ascii="仿宋_GB2312" w:hAnsi="仿宋_GB2312" w:eastAsia="仿宋_GB2312" w:cs="仿宋_GB2312"/>
          <w:sz w:val="32"/>
          <w:szCs w:val="32"/>
          <w:lang w:bidi="ar"/>
        </w:rPr>
        <w:t>）针对不同的学习内容和学生个体差异，采用小组合作的学习方式，加强组员之间、小组之间的及时沟通和交流，促进学生在教师指导下主动地、富有个性地学习。</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本课程进行理实一体化的教学，重视现代教育技术与课程的整合，充分发挥教学平台、多媒体教室、多媒体教学资料及设备、实物及教具等现代媒体技术的优势，提高教学的效率和效果，创建符合个性化学习的教学环境，推动教学模式和教学方法的改革。</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djustRightInd w:val="0"/>
        <w:snapToGrid w:val="0"/>
        <w:spacing w:line="560" w:lineRule="exact"/>
        <w:ind w:firstLine="640" w:firstLineChars="200"/>
        <w:rPr>
          <w:rFonts w:ascii="仿宋_GB2312" w:eastAsia="仿宋_GB2312" w:cs="仿宋_GB2312"/>
          <w:sz w:val="28"/>
          <w:szCs w:val="28"/>
        </w:rPr>
      </w:pPr>
      <w:r>
        <w:rPr>
          <w:rFonts w:hint="eastAsia" w:ascii="仿宋_GB2312" w:hAnsi="仿宋_GB2312" w:eastAsia="仿宋_GB2312" w:cs="仿宋_GB2312"/>
          <w:sz w:val="32"/>
          <w:szCs w:val="32"/>
          <w:lang w:bidi="ar"/>
        </w:rPr>
        <w:t>（1）首先教材编写应以本课程标准为基础依据，合理安排教材内容，但教材的编写总会受到时效性的限制，为了解决教材中不可避免的部分内容陈旧这一问题，应同时为教材每一章教学内容提供了大量进一步阅读的资料和查阅资料的网站链接。这些资料除经典文献之外，还要将党的二十大精神融入到教材中去。同时包括国内外其他同类教材、最新发表的代表性论文，不断更新资料目录，以便学生在教师的指导下能接触到国际货代实务行业相关问题的最新研究成果；其次教材编写要按照统一的编写模式进行，作为专业基础课，在编写时应该注重章节的层次性，将知识点与案例相结合，每章要有小结，突出重难点；第三，教材的编写要突出实践性和应用性，要根据中职学生的学习特点和接受程度，方便使用的原则进行编写。</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autoSpaceDE w:val="0"/>
        <w:adjustRightInd w:val="0"/>
        <w:snapToGrid w:val="0"/>
        <w:spacing w:line="56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959"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69"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6"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国际货代实务的法律责任</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国际货代企业的经营范围</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国际货代实务人的服务对象</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center"/>
          </w:tcPr>
          <w:p>
            <w:pPr>
              <w:keepNext w:val="0"/>
              <w:keepLines w:val="0"/>
              <w:pageBreakBefore w:val="0"/>
              <w:widowControl w:val="0"/>
              <w:kinsoku/>
              <w:wordWrap/>
              <w:overflowPunct/>
              <w:topLinePunct w:val="0"/>
              <w:autoSpaceDN/>
              <w:bidi w:val="0"/>
              <w:spacing w:line="320" w:lineRule="exact"/>
              <w:jc w:val="center"/>
              <w:rPr>
                <w:rFonts w:ascii="仿宋_GB2312" w:hAnsi="Calibri" w:eastAsia="仿宋_GB2312" w:cs="Arial"/>
                <w:szCs w:val="21"/>
              </w:rPr>
            </w:pPr>
            <w:r>
              <w:rPr>
                <w:rFonts w:hint="eastAsia" w:ascii="仿宋_GB2312" w:hAnsi="仿宋_GB2312" w:eastAsia="仿宋_GB2312" w:cs="仿宋_GB2312"/>
                <w:kern w:val="0"/>
                <w:szCs w:val="21"/>
                <w:lang w:bidi="ar"/>
              </w:rPr>
              <w:t>国际货代实务企业的程序</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有关船舶和世界主要的船公司</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提单业务的基本理论与操作规程</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船期表的看法</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班轮货运代理流程</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各类租船合同的基本内容</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滞期费和速遣费的计算</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国际航空货运方式的种类与特点</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各类国际航空代理人的特点</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国际航空进出口货物运输业务流程</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航空特快专递的特点及业务程序</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中欧班列的货运流程</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国际多式联运的特征与操作方法</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国际多式联运代理的流程</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国际多式联运代理单据的填制</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bl>
    <w:p>
      <w:pPr>
        <w:keepNext w:val="0"/>
        <w:keepLines w:val="0"/>
        <w:pageBreakBefore w:val="0"/>
        <w:widowControl w:val="0"/>
        <w:kinsoku/>
        <w:wordWrap/>
        <w:overflowPunct/>
        <w:topLinePunct w:val="0"/>
        <w:autoSpaceDE w:val="0"/>
        <w:autoSpaceDN/>
        <w:bidi w:val="0"/>
        <w:adjustRightInd w:val="0"/>
        <w:snapToGrid w:val="0"/>
        <w:spacing w:line="360" w:lineRule="exact"/>
        <w:ind w:firstLine="640" w:firstLineChars="200"/>
        <w:textAlignment w:val="baseline"/>
        <w:rPr>
          <w:rFonts w:ascii="仿宋_GB2312" w:hAnsi="仿宋_GB2312" w:eastAsia="仿宋_GB2312" w:cs="仿宋_GB2312"/>
          <w:sz w:val="32"/>
          <w:szCs w:val="32"/>
          <w:highlight w:val="yellow"/>
          <w:lang w:bidi="ar"/>
        </w:rPr>
      </w:pPr>
    </w:p>
    <w:p>
      <w:pPr>
        <w:widowControl/>
        <w:jc w:val="left"/>
        <w:rPr>
          <w:rFonts w:ascii="Cambria" w:hAnsi="Cambria" w:eastAsia="方正小标宋_GBK"/>
          <w:sz w:val="32"/>
          <w:szCs w:val="32"/>
        </w:rPr>
      </w:pPr>
    </w:p>
    <w:p>
      <w:pPr>
        <w:widowControl/>
        <w:jc w:val="left"/>
        <w:rPr>
          <w:rFonts w:ascii="Cambria" w:hAnsi="Cambria" w:eastAsia="方正小标宋_GBK"/>
          <w:sz w:val="32"/>
          <w:szCs w:val="32"/>
        </w:rPr>
      </w:pPr>
      <w:r>
        <w:rPr>
          <w:rFonts w:ascii="Cambria" w:hAnsi="Cambria" w:eastAsia="方正小标宋_GBK"/>
          <w:sz w:val="32"/>
          <w:szCs w:val="32"/>
        </w:rPr>
        <w:br w:type="page"/>
      </w:r>
    </w:p>
    <w:p>
      <w:pPr>
        <w:snapToGrid w:val="0"/>
        <w:spacing w:after="120" w:afterLines="50" w:line="560" w:lineRule="exact"/>
        <w:jc w:val="center"/>
        <w:rPr>
          <w:rFonts w:ascii="方正小标宋_GBK" w:hAnsi="宋体" w:eastAsia="方正小标宋_GBK"/>
          <w:sz w:val="32"/>
          <w:szCs w:val="32"/>
        </w:rPr>
      </w:pPr>
      <w:r>
        <w:rPr>
          <w:rFonts w:hint="eastAsia" w:ascii="方正小标宋简体" w:hAnsi="宋体" w:eastAsia="方正小标宋简体" w:cs="宋体"/>
          <w:bCs/>
          <w:sz w:val="32"/>
          <w:szCs w:val="32"/>
        </w:rPr>
        <w:t>物流设施设备应用</w:t>
      </w:r>
      <w:r>
        <w:rPr>
          <w:rFonts w:hint="eastAsia" w:ascii="方正小标宋简体" w:hAnsi="方正小标宋简体" w:eastAsia="方正小标宋简体" w:cs="方正小标宋简体"/>
          <w:sz w:val="32"/>
          <w:szCs w:val="32"/>
        </w:rPr>
        <w:t>课程标准</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 w:hAnsi="仿宋" w:eastAsia="仿宋" w:cs="仿宋"/>
          <w:sz w:val="32"/>
          <w:szCs w:val="32"/>
          <w:lang w:bidi="ar"/>
        </w:rPr>
        <w:t>本课程是</w:t>
      </w:r>
      <w:r>
        <w:rPr>
          <w:rFonts w:hint="eastAsia" w:ascii="仿宋_GB2312" w:hAnsi="仿宋_GB2312" w:eastAsia="仿宋_GB2312" w:cs="仿宋_GB2312"/>
          <w:sz w:val="32"/>
          <w:szCs w:val="32"/>
          <w:lang w:bidi="ar"/>
        </w:rPr>
        <w:t>物流服务与管理</w:t>
      </w:r>
      <w:r>
        <w:rPr>
          <w:rFonts w:hint="eastAsia" w:ascii="仿宋" w:hAnsi="仿宋" w:eastAsia="仿宋" w:cs="仿宋"/>
          <w:kern w:val="0"/>
          <w:sz w:val="32"/>
          <w:szCs w:val="32"/>
          <w:lang w:bidi="ar"/>
        </w:rPr>
        <w:t>专业的一门专业</w:t>
      </w:r>
      <w:r>
        <w:rPr>
          <w:rFonts w:hint="eastAsia" w:ascii="仿宋" w:hAnsi="仿宋" w:eastAsia="仿宋" w:cs="仿宋"/>
          <w:sz w:val="32"/>
          <w:szCs w:val="32"/>
          <w:lang w:bidi="ar"/>
        </w:rPr>
        <w:t>核心课程。通过学习</w:t>
      </w:r>
      <w:r>
        <w:rPr>
          <w:rFonts w:hint="eastAsia" w:ascii="仿宋_GB2312" w:hAnsi="仿宋_GB2312" w:eastAsia="仿宋_GB2312" w:cs="仿宋_GB2312"/>
          <w:sz w:val="32"/>
          <w:szCs w:val="32"/>
          <w:lang w:bidi="ar"/>
        </w:rPr>
        <w:t>物流设备运用与维护等</w:t>
      </w:r>
      <w:r>
        <w:rPr>
          <w:rFonts w:hint="eastAsia" w:ascii="仿宋" w:hAnsi="仿宋" w:eastAsia="仿宋" w:cs="仿宋"/>
          <w:sz w:val="32"/>
          <w:szCs w:val="32"/>
          <w:lang w:bidi="ar"/>
        </w:rPr>
        <w:t>专业知识</w:t>
      </w:r>
      <w:r>
        <w:rPr>
          <w:rFonts w:hint="eastAsia" w:ascii="仿宋" w:hAnsi="仿宋" w:eastAsia="仿宋" w:cs="仿宋"/>
          <w:kern w:val="0"/>
          <w:sz w:val="32"/>
          <w:szCs w:val="32"/>
          <w:lang w:bidi="ar"/>
        </w:rPr>
        <w:t>，使学生能够</w:t>
      </w:r>
      <w:r>
        <w:rPr>
          <w:rFonts w:hint="eastAsia" w:ascii="仿宋" w:hAnsi="仿宋" w:eastAsia="仿宋" w:cs="仿宋"/>
          <w:sz w:val="32"/>
          <w:szCs w:val="32"/>
          <w:lang w:bidi="ar"/>
        </w:rPr>
        <w:t>掌握</w:t>
      </w:r>
      <w:r>
        <w:rPr>
          <w:rFonts w:hint="eastAsia" w:ascii="仿宋_GB2312" w:hAnsi="仿宋_GB2312" w:eastAsia="仿宋_GB2312" w:cs="仿宋_GB2312"/>
          <w:sz w:val="32"/>
          <w:szCs w:val="32"/>
          <w:lang w:bidi="ar"/>
        </w:rPr>
        <w:t>智能仓储与配送运营、智能运输运营、快递运营等</w:t>
      </w:r>
      <w:r>
        <w:rPr>
          <w:rFonts w:hint="eastAsia" w:ascii="仿宋" w:hAnsi="仿宋" w:eastAsia="仿宋" w:cs="仿宋"/>
          <w:sz w:val="32"/>
          <w:szCs w:val="32"/>
          <w:lang w:bidi="ar"/>
        </w:rPr>
        <w:t>；具有</w:t>
      </w:r>
      <w:r>
        <w:rPr>
          <w:rFonts w:hint="eastAsia" w:ascii="仿宋_GB2312" w:hAnsi="仿宋_GB2312" w:eastAsia="仿宋_GB2312" w:cs="仿宋_GB2312"/>
          <w:sz w:val="32"/>
          <w:szCs w:val="32"/>
          <w:lang w:bidi="ar"/>
        </w:rPr>
        <w:t>合理选择与配置物流设施与设备的基本能力，能够科学地使用与管理物流设施与设备，并进行简单的维护保养与维修，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（1）掌握物流设施与设备的发展过程及其特点；</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（2）掌握物流设施与设备在物流管理中的地位和作用；</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（3）掌握物流软件分类和主要软件在物流领域的应用；</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（4）掌握几种常用的物流设施与设备的工作原理；</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（5）掌握智慧物流的发展趋势及与之相关的物流设施设备。</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（1）能够识别常见的物流设施与设备；</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（2）能够根据物流设施与设备的相关构造和用途分析解决具体问题；</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 能够根据条形码技术、射频技术来进行仓储管理；</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（4）能够根据全球定位系统和地理信息系统进行货物在途跟踪及运输路线导航；</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（5）能够根据仓储管理要求合理使用相应的物流设施与设备；</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（6）能够根据运输管理要求合理使用相应的物流设施与设备；</w:t>
      </w:r>
    </w:p>
    <w:p>
      <w:pPr>
        <w:keepNext w:val="0"/>
        <w:keepLines w:val="0"/>
        <w:pageBreakBefore w:val="0"/>
        <w:kinsoku/>
        <w:wordWrap/>
        <w:overflowPunct/>
        <w:topLinePunct w:val="0"/>
        <w:autoSpaceDN/>
        <w:bidi w:val="0"/>
        <w:snapToGrid w:val="0"/>
        <w:spacing w:line="58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（7）能够根据配送管理要求合理使用相应的物流设施与设备。</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 w:hAnsi="仿宋" w:eastAsia="仿宋" w:cs="仿宋"/>
          <w:sz w:val="28"/>
          <w:szCs w:val="28"/>
        </w:rPr>
      </w:pPr>
      <w:r>
        <w:rPr>
          <w:rFonts w:ascii="仿宋_GB2312" w:hAnsi="仿宋_GB2312" w:eastAsia="仿宋_GB2312" w:cs="仿宋_GB2312"/>
          <w:sz w:val="32"/>
          <w:szCs w:val="32"/>
          <w:lang w:bidi="ar"/>
        </w:rPr>
        <w:t>72</w:t>
      </w:r>
      <w:r>
        <w:rPr>
          <w:rFonts w:hint="eastAsia" w:ascii="仿宋_GB2312" w:hAnsi="仿宋_GB2312" w:eastAsia="仿宋_GB2312" w:cs="仿宋_GB2312"/>
          <w:sz w:val="32"/>
          <w:szCs w:val="32"/>
          <w:lang w:bidi="ar"/>
        </w:rPr>
        <w:t>学时</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80" w:lineRule="exact"/>
        <w:ind w:firstLine="640" w:firstLineChars="200"/>
        <w:textAlignment w:val="baseline"/>
        <w:rPr>
          <w:rFonts w:ascii="仿宋" w:hAnsi="仿宋" w:eastAsia="仿宋" w:cs="仿宋"/>
          <w:sz w:val="28"/>
          <w:szCs w:val="28"/>
        </w:rPr>
      </w:pPr>
      <w:r>
        <w:rPr>
          <w:rFonts w:ascii="仿宋_GB2312" w:hAnsi="仿宋_GB2312" w:eastAsia="仿宋_GB2312" w:cs="仿宋_GB2312"/>
          <w:sz w:val="32"/>
          <w:szCs w:val="32"/>
          <w:lang w:bidi="ar"/>
        </w:rPr>
        <w:t>4</w:t>
      </w:r>
      <w:r>
        <w:rPr>
          <w:rFonts w:hint="eastAsia" w:ascii="仿宋_GB2312" w:hAnsi="仿宋_GB2312" w:eastAsia="仿宋_GB2312" w:cs="仿宋_GB2312"/>
          <w:sz w:val="32"/>
          <w:szCs w:val="32"/>
          <w:lang w:bidi="ar"/>
        </w:rPr>
        <w:t>学分</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tbl>
      <w:tblPr>
        <w:tblStyle w:val="15"/>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03"/>
        <w:gridCol w:w="3945"/>
        <w:gridCol w:w="242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71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103"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945"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428"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208"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10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widowControl/>
              <w:kinsoku w:val="0"/>
              <w:autoSpaceDE w:val="0"/>
              <w:autoSpaceDN w:val="0"/>
              <w:adjustRightInd w:val="0"/>
              <w:snapToGrid w:val="0"/>
              <w:spacing w:line="360" w:lineRule="exact"/>
              <w:jc w:val="center"/>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物流设施与设备</w:t>
            </w:r>
          </w:p>
          <w:p>
            <w:pPr>
              <w:widowControl/>
              <w:kinsoku w:val="0"/>
              <w:autoSpaceDE w:val="0"/>
              <w:autoSpaceDN w:val="0"/>
              <w:adjustRightInd w:val="0"/>
              <w:snapToGrid w:val="0"/>
              <w:spacing w:line="360" w:lineRule="exact"/>
              <w:jc w:val="center"/>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概述</w:t>
            </w:r>
          </w:p>
        </w:tc>
        <w:tc>
          <w:tcPr>
            <w:tcW w:w="394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1.掌握国内外物流装备的现状；</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2.重点掌握物流装备的分类、物流装备对物流发展的重要性；</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3.了解物流实训室的物流设施与设备。</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1.能够熟练掌握国内外物流装备的现状；</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2.理解重点和掌握物流装备的分类以及对物流发展的重要性；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3.能够熟知物流实训室中的物流设备。</w:t>
            </w:r>
          </w:p>
        </w:tc>
        <w:tc>
          <w:tcPr>
            <w:tcW w:w="24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1.通过图片、视频等内容，向学生展示常用的装卸搬运设备，使学生有直观的了解；</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2.通过在物流实训中心实训，让学生学会使用叉车、电动托盘车、堆高车、输送机、起重机等装卸搬运设备。培养安全意识和按标准化作业流程作业意识、养成安全作业习惯、提高自主动手能力。</w:t>
            </w:r>
          </w:p>
        </w:tc>
        <w:tc>
          <w:tcPr>
            <w:tcW w:w="1208"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10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widowControl/>
              <w:kinsoku w:val="0"/>
              <w:autoSpaceDE w:val="0"/>
              <w:autoSpaceDN w:val="0"/>
              <w:adjustRightInd w:val="0"/>
              <w:snapToGrid w:val="0"/>
              <w:spacing w:line="360" w:lineRule="exact"/>
              <w:jc w:val="center"/>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物流运输设施与</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宋体" w:eastAsia="仿宋_GB2312" w:cs="宋体"/>
                <w:color w:val="000000"/>
                <w:szCs w:val="21"/>
              </w:rPr>
              <w:t>设备</w:t>
            </w:r>
          </w:p>
        </w:tc>
        <w:tc>
          <w:tcPr>
            <w:tcW w:w="394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1.理解物流运输设施与设备的概念、特点、用途；</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2.各种运输设施与设备的性能，选择的依据；</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3.会合理选配使用常见的运输设施设备。</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1.能理解物流运输与运输设备的特点的用途；</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2.能够合理的对常见运输设备的选配。</w:t>
            </w:r>
          </w:p>
        </w:tc>
        <w:tc>
          <w:tcPr>
            <w:tcW w:w="24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1.通过图片、视频等内容，向学生展示常用的集装化单元设备，使学生有直观的了解。培养学生国际化视野；</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2.通过在实训室实训，了解托盘、物流箱、集装箱的种类和基本参数。</w:t>
            </w:r>
          </w:p>
        </w:tc>
        <w:tc>
          <w:tcPr>
            <w:tcW w:w="1208"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110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widowControl/>
              <w:kinsoku w:val="0"/>
              <w:autoSpaceDE w:val="0"/>
              <w:autoSpaceDN w:val="0"/>
              <w:adjustRightInd w:val="0"/>
              <w:snapToGrid w:val="0"/>
              <w:spacing w:line="360" w:lineRule="exact"/>
              <w:jc w:val="center"/>
              <w:textAlignment w:val="baseline"/>
              <w:rPr>
                <w:rFonts w:ascii="仿宋_GB2312" w:eastAsia="仿宋_GB2312"/>
                <w:color w:val="000000"/>
                <w:szCs w:val="21"/>
              </w:rPr>
            </w:pPr>
            <w:r>
              <w:rPr>
                <w:rFonts w:hint="eastAsia" w:ascii="仿宋_GB2312" w:eastAsia="仿宋_GB2312"/>
                <w:color w:val="000000"/>
                <w:szCs w:val="21"/>
              </w:rPr>
              <w:t>物流装卸与搬运</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eastAsia="仿宋_GB2312"/>
                <w:color w:val="000000"/>
                <w:szCs w:val="21"/>
              </w:rPr>
              <w:t>设备</w:t>
            </w:r>
          </w:p>
        </w:tc>
        <w:tc>
          <w:tcPr>
            <w:tcW w:w="394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1.了解装卸搬运设备的基本参数；</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2.掌握输送机械的分类及特点、常用搬运车辆各自的特点及使用场所；</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3.重点掌握常用叉车类型及特点、液压托盘车、电动托盘车、堆高车、手堆车的特点及应用；</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4.会使用常见的装卸搬运设备。</w:t>
            </w: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1.对装卸搬运设备的基本参数有所了解；</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2.能熟练掌握机械的分类以及特点和对常用搬运车的自身特点和使用场所；</w:t>
            </w:r>
          </w:p>
          <w:p>
            <w:pPr>
              <w:widowControl/>
              <w:kinsoku w:val="0"/>
              <w:autoSpaceDE w:val="0"/>
              <w:autoSpaceDN w:val="0"/>
              <w:adjustRightInd w:val="0"/>
              <w:snapToGrid w:val="0"/>
              <w:spacing w:line="380" w:lineRule="exact"/>
              <w:textAlignment w:val="baseline"/>
              <w:rPr>
                <w:rFonts w:ascii="仿宋_GB2312" w:hAnsi="宋体" w:eastAsia="仿宋_GB2312" w:cs="宋体"/>
                <w:color w:val="000000"/>
                <w:szCs w:val="21"/>
              </w:rPr>
            </w:pPr>
            <w:r>
              <w:rPr>
                <w:rFonts w:hint="eastAsia" w:ascii="仿宋_GB2312" w:hAnsi="仿宋_GB2312" w:eastAsia="仿宋_GB2312" w:cs="仿宋_GB2312"/>
                <w:kern w:val="0"/>
                <w:szCs w:val="21"/>
                <w:lang w:bidi="ar"/>
              </w:rPr>
              <w:t>3.能够对常用的叉车类型及特点、液压托盘车、电动托盘车、堆高车、手堆车的特点及应用其重点有所掌握。</w:t>
            </w:r>
          </w:p>
        </w:tc>
        <w:tc>
          <w:tcPr>
            <w:tcW w:w="24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1.通过图片、视频等内容，向学生展示物流中心常用的设施与装备，使学生有直观的了解；</w:t>
            </w:r>
          </w:p>
          <w:p>
            <w:pPr>
              <w:autoSpaceDE w:val="0"/>
              <w:autoSpaceDN w:val="0"/>
              <w:adjustRightInd w:val="0"/>
              <w:snapToGrid w:val="0"/>
              <w:spacing w:line="360" w:lineRule="exact"/>
              <w:textAlignment w:val="baseline"/>
              <w:rPr>
                <w:rFonts w:ascii="仿宋_GB2312" w:hAnsi="宋体" w:eastAsia="仿宋_GB2312" w:cs="宋体"/>
                <w:color w:val="000000"/>
                <w:szCs w:val="21"/>
              </w:rPr>
            </w:pPr>
            <w:r>
              <w:rPr>
                <w:rFonts w:hint="eastAsia" w:ascii="仿宋_GB2312" w:hAnsi="仿宋_GB2312" w:eastAsia="仿宋_GB2312" w:cs="仿宋_GB2312"/>
                <w:kern w:val="0"/>
                <w:szCs w:val="21"/>
                <w:lang w:bidi="ar"/>
              </w:rPr>
              <w:t>2.通过在实训室实训，了解货架、笼车、分拣设备、流通加工设备的种类、基本参数和使用方法。</w:t>
            </w:r>
          </w:p>
        </w:tc>
        <w:tc>
          <w:tcPr>
            <w:tcW w:w="1208"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110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项目四</w:t>
            </w:r>
          </w:p>
          <w:p>
            <w:pPr>
              <w:widowControl/>
              <w:kinsoku w:val="0"/>
              <w:autoSpaceDE w:val="0"/>
              <w:autoSpaceDN w:val="0"/>
              <w:adjustRightInd w:val="0"/>
              <w:snapToGrid w:val="0"/>
              <w:spacing w:line="360" w:lineRule="exact"/>
              <w:jc w:val="center"/>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物流集装单元化</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宋体" w:eastAsia="仿宋_GB2312" w:cs="宋体"/>
                <w:color w:val="000000"/>
                <w:szCs w:val="21"/>
              </w:rPr>
              <w:t>设备</w:t>
            </w:r>
          </w:p>
        </w:tc>
        <w:tc>
          <w:tcPr>
            <w:tcW w:w="394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1.认识常见的集装单元化设备，了解托盘、物流箱、集装箱的种类和基本参数；</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2.掌握集装单元化设备配置的原则和配置的要求；</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3.会合理选配使用常见的集装化单元设备。</w:t>
            </w: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1.能认识出常见的集装单元化设备，了解托盘，物流箱及集装箱的种类和各种基本参数；</w:t>
            </w:r>
          </w:p>
          <w:p>
            <w:pPr>
              <w:widowControl/>
              <w:kinsoku w:val="0"/>
              <w:autoSpaceDE w:val="0"/>
              <w:autoSpaceDN w:val="0"/>
              <w:adjustRightInd w:val="0"/>
              <w:snapToGrid w:val="0"/>
              <w:spacing w:line="380" w:lineRule="exact"/>
              <w:textAlignment w:val="baseline"/>
              <w:rPr>
                <w:rFonts w:ascii="仿宋_GB2312" w:hAnsi="宋体" w:eastAsia="仿宋_GB2312" w:cs="宋体"/>
                <w:color w:val="000000"/>
                <w:szCs w:val="21"/>
              </w:rPr>
            </w:pPr>
            <w:r>
              <w:rPr>
                <w:rFonts w:hint="eastAsia" w:ascii="仿宋_GB2312" w:hAnsi="仿宋_GB2312" w:eastAsia="仿宋_GB2312" w:cs="仿宋_GB2312"/>
                <w:kern w:val="0"/>
                <w:szCs w:val="21"/>
                <w:lang w:bidi="ar"/>
              </w:rPr>
              <w:t>2.能对集装单元化设备配置的原则和配置的要求有合理的选配。</w:t>
            </w:r>
          </w:p>
        </w:tc>
        <w:tc>
          <w:tcPr>
            <w:tcW w:w="24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1.通过图片、视频等内容，向学生展示常用的物流信息技术设备，使学生有直观的了解。加强对智慧物流的理解；</w:t>
            </w:r>
          </w:p>
          <w:p>
            <w:pPr>
              <w:autoSpaceDE w:val="0"/>
              <w:autoSpaceDN w:val="0"/>
              <w:adjustRightInd w:val="0"/>
              <w:snapToGrid w:val="0"/>
              <w:spacing w:line="380" w:lineRule="exact"/>
              <w:textAlignment w:val="baseline"/>
              <w:rPr>
                <w:rFonts w:ascii="仿宋_GB2312" w:hAnsi="宋体" w:eastAsia="仿宋_GB2312" w:cs="宋体"/>
                <w:color w:val="000000"/>
                <w:szCs w:val="21"/>
              </w:rPr>
            </w:pPr>
            <w:r>
              <w:rPr>
                <w:rFonts w:hint="eastAsia" w:ascii="仿宋_GB2312" w:hAnsi="仿宋_GB2312" w:eastAsia="仿宋_GB2312" w:cs="仿宋_GB2312"/>
                <w:kern w:val="0"/>
                <w:szCs w:val="21"/>
                <w:lang w:bidi="ar"/>
              </w:rPr>
              <w:t>2.通过在实训室实训，了解条码技术设备、射频技术设备、GPS与GIS技术设备、通信与网络技术设备、安全及监控系统、消防供电及照明系统、通风、采暖系统及其他公用设施的使用方法。</w:t>
            </w:r>
          </w:p>
        </w:tc>
        <w:tc>
          <w:tcPr>
            <w:tcW w:w="1208"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110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项目五</w:t>
            </w:r>
          </w:p>
          <w:p>
            <w:pPr>
              <w:widowControl/>
              <w:kinsoku w:val="0"/>
              <w:autoSpaceDE w:val="0"/>
              <w:autoSpaceDN w:val="0"/>
              <w:adjustRightInd w:val="0"/>
              <w:snapToGrid w:val="0"/>
              <w:spacing w:line="360" w:lineRule="exact"/>
              <w:jc w:val="center"/>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物流中心设施与</w:t>
            </w:r>
          </w:p>
          <w:p>
            <w:pPr>
              <w:widowControl/>
              <w:kinsoku w:val="0"/>
              <w:autoSpaceDE w:val="0"/>
              <w:autoSpaceDN w:val="0"/>
              <w:adjustRightInd w:val="0"/>
              <w:snapToGrid w:val="0"/>
              <w:spacing w:line="360" w:lineRule="exact"/>
              <w:jc w:val="center"/>
              <w:textAlignment w:val="baseline"/>
              <w:rPr>
                <w:rFonts w:ascii="仿宋_GB2312" w:hAnsi="宋体" w:eastAsia="仿宋_GB2312" w:cs="宋体"/>
                <w:color w:val="000000"/>
                <w:szCs w:val="21"/>
              </w:rPr>
            </w:pPr>
            <w:r>
              <w:rPr>
                <w:rFonts w:hint="eastAsia" w:ascii="仿宋_GB2312" w:hAnsi="宋体" w:eastAsia="仿宋_GB2312" w:cs="宋体"/>
                <w:color w:val="000000"/>
                <w:szCs w:val="21"/>
              </w:rPr>
              <w:t>设备</w:t>
            </w:r>
          </w:p>
        </w:tc>
        <w:tc>
          <w:tcPr>
            <w:tcW w:w="394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1.认识物流中心常用的设施与设备并能够熟练使用；</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2.掌握物流中心的设施与设备的配置的原则和配置的要求；</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3.会使用常见的配送中心作业设备。</w:t>
            </w: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1.能认识到物流中心常用的设施与设备并能够熟练使用；</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2.能够熟练掌握物流中心的设施与设备的配置的原则和配置的要求；</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3.会使用常见的配送中心作业设备。</w:t>
            </w:r>
          </w:p>
        </w:tc>
        <w:tc>
          <w:tcPr>
            <w:tcW w:w="242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1.通过实地参观企业认识物流中心常用的设施设备；</w:t>
            </w:r>
          </w:p>
          <w:p>
            <w:pPr>
              <w:widowControl/>
              <w:tabs>
                <w:tab w:val="left" w:pos="312"/>
              </w:tabs>
              <w:kinsoku w:val="0"/>
              <w:autoSpaceDE w:val="0"/>
              <w:autoSpaceDN w:val="0"/>
              <w:adjustRightInd w:val="0"/>
              <w:snapToGrid w:val="0"/>
              <w:spacing w:line="380" w:lineRule="exact"/>
              <w:textAlignment w:val="baseline"/>
              <w:rPr>
                <w:rFonts w:ascii="仿宋_GB2312" w:hAnsi="宋体" w:eastAsia="仿宋_GB2312" w:cs="宋体"/>
                <w:color w:val="000000"/>
                <w:szCs w:val="21"/>
              </w:rPr>
            </w:pPr>
            <w:r>
              <w:rPr>
                <w:rFonts w:hint="eastAsia" w:ascii="仿宋_GB2312" w:hAnsi="仿宋_GB2312" w:eastAsia="仿宋_GB2312" w:cs="仿宋_GB2312"/>
                <w:kern w:val="0"/>
                <w:szCs w:val="21"/>
                <w:lang w:bidi="ar"/>
              </w:rPr>
              <w:t>2.通过实操中进行讲解，在实际操作中学习物流中心。</w:t>
            </w:r>
          </w:p>
        </w:tc>
        <w:tc>
          <w:tcPr>
            <w:tcW w:w="1208"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110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项目六</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宋体" w:eastAsia="仿宋_GB2312" w:cs="宋体"/>
                <w:color w:val="000000"/>
                <w:kern w:val="0"/>
                <w:szCs w:val="21"/>
              </w:rPr>
              <w:t>物流信息技术设备</w:t>
            </w:r>
          </w:p>
        </w:tc>
        <w:tc>
          <w:tcPr>
            <w:tcW w:w="394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1.认识常见的物流信息技术设备；</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2.掌握常见的物流信息技术设备的性能和选择的原则及配置的要求；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3.了解常见的物流信息技术设备的工作原理；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4.会使用常见的物流信息技术设施设备。</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1.能够对常见的物流信息技术设备有所认识；</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2.能掌握常见的物流信息技术设备的性能和选择的原则及配置的要求；</w:t>
            </w:r>
          </w:p>
          <w:p>
            <w:pPr>
              <w:widowControl/>
              <w:kinsoku w:val="0"/>
              <w:autoSpaceDE w:val="0"/>
              <w:autoSpaceDN w:val="0"/>
              <w:adjustRightInd w:val="0"/>
              <w:snapToGrid w:val="0"/>
              <w:spacing w:line="360" w:lineRule="exact"/>
              <w:textAlignment w:val="baseline"/>
              <w:rPr>
                <w:rFonts w:ascii="仿宋_GB2312" w:hAnsi="宋体" w:eastAsia="仿宋_GB2312" w:cs="宋体"/>
                <w:color w:val="000000"/>
                <w:szCs w:val="21"/>
              </w:rPr>
            </w:pPr>
            <w:r>
              <w:rPr>
                <w:rFonts w:hint="eastAsia" w:ascii="仿宋_GB2312" w:hAnsi="仿宋_GB2312" w:eastAsia="仿宋_GB2312" w:cs="仿宋_GB2312"/>
                <w:kern w:val="0"/>
                <w:szCs w:val="21"/>
                <w:lang w:bidi="ar"/>
              </w:rPr>
              <w:t>3.能够了解常见的物流信息技术设备的工作原理。</w:t>
            </w:r>
          </w:p>
        </w:tc>
        <w:tc>
          <w:tcPr>
            <w:tcW w:w="2428" w:type="dxa"/>
            <w:tcBorders>
              <w:top w:val="single" w:color="auto" w:sz="4" w:space="0"/>
              <w:left w:val="nil"/>
              <w:bottom w:val="single" w:color="auto" w:sz="4" w:space="0"/>
              <w:right w:val="single" w:color="auto" w:sz="4" w:space="0"/>
            </w:tcBorders>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1.通过在物流实训室进行教学讲解，对物流技术设备进行认识；</w:t>
            </w:r>
          </w:p>
          <w:p>
            <w:pPr>
              <w:widowControl/>
              <w:tabs>
                <w:tab w:val="left" w:pos="312"/>
              </w:tabs>
              <w:kinsoku w:val="0"/>
              <w:autoSpaceDE w:val="0"/>
              <w:autoSpaceDN w:val="0"/>
              <w:adjustRightInd w:val="0"/>
              <w:snapToGrid w:val="0"/>
              <w:spacing w:line="360" w:lineRule="exact"/>
              <w:textAlignment w:val="baseline"/>
              <w:rPr>
                <w:rFonts w:ascii="仿宋_GB2312" w:hAnsi="宋体" w:eastAsia="仿宋_GB2312" w:cs="宋体"/>
                <w:color w:val="000000"/>
                <w:szCs w:val="21"/>
              </w:rPr>
            </w:pPr>
            <w:r>
              <w:rPr>
                <w:rFonts w:hint="eastAsia" w:ascii="仿宋_GB2312" w:hAnsi="仿宋_GB2312" w:eastAsia="仿宋_GB2312" w:cs="仿宋_GB2312"/>
                <w:kern w:val="0"/>
                <w:szCs w:val="21"/>
                <w:lang w:bidi="ar"/>
              </w:rPr>
              <w:t>2.实践中学习物流技术。</w:t>
            </w:r>
          </w:p>
        </w:tc>
        <w:tc>
          <w:tcPr>
            <w:tcW w:w="1208"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snapToGrid w:val="0"/>
        <w:spacing w:line="560" w:lineRule="exact"/>
        <w:ind w:firstLine="560" w:firstLineChars="200"/>
        <w:rPr>
          <w:rFonts w:ascii="仿宋_GB2312" w:hAnsi="仿宋_GB2312" w:eastAsia="仿宋_GB2312" w:cs="仿宋_GB2312"/>
          <w:kern w:val="0"/>
          <w:sz w:val="32"/>
          <w:szCs w:val="32"/>
          <w:lang w:bidi="ar"/>
        </w:rPr>
      </w:pPr>
      <w:r>
        <w:rPr>
          <w:rFonts w:hint="eastAsia" w:ascii="仿宋_GB2312" w:eastAsia="仿宋_GB2312"/>
          <w:color w:val="000000"/>
          <w:sz w:val="28"/>
          <w:szCs w:val="28"/>
        </w:rPr>
        <w:t>（</w:t>
      </w:r>
      <w:r>
        <w:rPr>
          <w:rFonts w:hint="eastAsia" w:ascii="仿宋_GB2312" w:hAnsi="仿宋_GB2312" w:eastAsia="仿宋_GB2312" w:cs="仿宋_GB2312"/>
          <w:kern w:val="0"/>
          <w:sz w:val="32"/>
          <w:szCs w:val="32"/>
          <w:lang w:bidi="ar"/>
        </w:rPr>
        <w:t>1）本课程在教学过程中，立足于加强学生实际动手能力和安全作业能力的培养，采用物流实训的方式，以任务驱动型项目提高学生学习兴趣。</w:t>
      </w:r>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本课程教学须充分利用学校和企业的两种资源，采用现代多媒体教学与实训室和企业现场实践教学相结合的方式，注重学做结合，边讲边学，“教”与“学”互动，做中学，学中做，提高学生实践动手能力和岗位职业能力。</w:t>
      </w:r>
    </w:p>
    <w:p>
      <w:pPr>
        <w:snapToGrid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（3）在教学过程中，强化实际操作训练，在操作训练中，使学生学会使用物流设施与设备。同时要注重学生安全意识和安全防护能力的提升。</w:t>
      </w:r>
    </w:p>
    <w:p>
      <w:pPr>
        <w:snapToGrid w:val="0"/>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（4）在教学过程中，注重多媒体教学、案例教学、仿真平台模拟、软件教学、实物教学、物流企业现场教学等教学方法的综合运用。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（5）改革考核手段和方法，加强实践性教学环节的考核和安全意识的考核，可采用过程考核和结果考核相结合的考核方法，注重实践性引导。</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（6）应注重对学生动手能力和在实践中分析问题、解决问题能力的考核，对在学习和应用上有创新的学生给予特别鼓励，综合评价学生的能力。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建议本门课程的分数构成比例为课堂评价30%，项目（模块）评价30%，期末评价40%。其中，期末评价建议打破传统单一闭卷考试，实施“理论+实操”一体化考核，调动学生的学习主动性,锻炼实践技能,提高教学质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（1）教师要求</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具有物流管理或物流工程类相关专业本科及以上学历或讲师及以上职称，最好具有物流企业一线工作或实践经验。</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（2）学习场地、设施要求</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多媒体教室；物流管理软件；实训室；实训基地或校企合作企业。</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师教学一般依据专业教学标准的课程要求、课程标准，参考教材来组织教学内容。教材原则上需从国家和省市发布的省级以上规划教材目录中选用。课程所用教材的编写需深度贯彻习近平新时代中国特色社会主义，弘扬社会主义核心价值观，积极落实二十大精神。及时引进行业企业的新理念、新技术、新设备、新模式等。</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形式应图文并茂，尽量多采用图片、流程图等，语言生动，版式活泼，符合中职学生的学习特点。为激发学生的学习本课程的兴趣，应创设形象生动的教学情境，尽可能采用现代化教学手段，鼓励学校通过购买、检索、校企合作或者自主研发多媒体课件、挂图、实物教具、影像资料、电子教案、试题库、网络资源等数字化教学资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（3）注重实验实训指导书和实验实训标准的开发和应用，注意技能目标和知识目标的明确制定，利用项目任务驱动安排教学环节。 </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95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6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6"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国内外物流装备的现状</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物流实训室的物流设施与设备</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物流运输设施与设备的概念</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各种运输设施与设备的性能和依据</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合理选配使用常见的运输设施</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装卸搬运设备的基本参数</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输送机械的分类及特点</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装卸搬运设备的基本参数</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输送机械的分类及特点。</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常用叉车类型及特点</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使用常见的装卸搬运设备</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认识常见的集装单元化设</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物流箱、集装箱的种类和用途</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集装单元化设备配置的原则</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合理选配使用常见的集装化</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物流中心常用的设施与设备</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物流中心的设施与设备的配置</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常见的物流信息技术设备</w:t>
            </w:r>
          </w:p>
        </w:tc>
        <w:tc>
          <w:tcPr>
            <w:tcW w:w="127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bl>
    <w:p>
      <w:pPr>
        <w:snapToGrid w:val="0"/>
        <w:spacing w:after="120" w:afterLines="50" w:line="56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物流数据分析课程标准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物流服务与管理专业的一门专业拓展课程。通过学习Excel等数据处理工具、物流仓储运输配送问题建模求解等专业知识，使学生能够掌握表格与数据清单设计、数据整理、数据计算、查询与统计、数据图表化；具有物流数据搜集、整理、统计、分析的职业能力，能借助Excel等数据工具解决相关物流优化求解问题，培养学生的职业道德和工匠精神，提高学生综合素质和职业能力，为学生后续其他专业课程的学习打下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（1）熟悉表格设计与制作技巧，熟悉图形设置及组合等基本操作；</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（2）掌握Excel的基本函数应用，熟悉Excel高级函数的应用；</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（3）掌握数据清单的概念，认识数据透视表的概念及作用；</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（4）知道数据可视化表达的方式以及Excel各种图表类型的应用场景；</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（5）清楚ABC、EIQ、EOQ等分析方法的适用场景；</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（6）掌握Excel规划求解功能、节约里程法、物流节点选址规划。</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（1）能够结合物流企业的实际，灵活运用Excel相关知识；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（2）能够完成仓储入库单据设计、仓储货物组托设计；</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（3）能够利用Excel中函数、数据排序、合并计算等功能进行数据分析；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（4）能够利用数据透视表汇总数据；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（5）能够使用ABC分析方法解决仓储中的分类问题、使用EIQ分析方法解决制定分拣作业方式问题、使用EOQ分析方法解决合理化仓库的库容问题；</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（6）能够能够利用规划求解功能解决网络运输问题以及最短路径问题；</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7</w:t>
      </w:r>
      <w:r>
        <w:rPr>
          <w:rFonts w:hint="eastAsia" w:ascii="仿宋_GB2312" w:hAnsi="仿宋_GB2312" w:eastAsia="仿宋_GB2312" w:cs="仿宋_GB2312"/>
          <w:sz w:val="32"/>
          <w:szCs w:val="32"/>
          <w:lang w:bidi="ar"/>
        </w:rPr>
        <w:t>）能够使用节约里程法设计配送路线方案；</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8</w:t>
      </w:r>
      <w:r>
        <w:rPr>
          <w:rFonts w:hint="eastAsia" w:ascii="仿宋_GB2312" w:hAnsi="仿宋_GB2312" w:eastAsia="仿宋_GB2312" w:cs="仿宋_GB2312"/>
          <w:sz w:val="32"/>
          <w:szCs w:val="32"/>
          <w:lang w:bidi="ar"/>
        </w:rPr>
        <w:t>）能够制订配送给作业计划并进行配送时效分析。</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autoSpaceDE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72</w:t>
      </w:r>
      <w:r>
        <w:rPr>
          <w:rFonts w:hint="eastAsia" w:ascii="仿宋_GB2312" w:hAnsi="仿宋_GB2312" w:eastAsia="仿宋_GB2312" w:cs="仿宋_GB2312"/>
          <w:sz w:val="32"/>
          <w:szCs w:val="32"/>
          <w:lang w:bidi="ar"/>
        </w:rPr>
        <w:t>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autoSpaceDE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bidi="ar"/>
        </w:rPr>
        <w:t>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tbl>
      <w:tblPr>
        <w:tblStyle w:val="15"/>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086"/>
        <w:gridCol w:w="3593"/>
        <w:gridCol w:w="2538"/>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blHeader/>
          <w:jc w:val="center"/>
        </w:trPr>
        <w:tc>
          <w:tcPr>
            <w:tcW w:w="7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086"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593"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538"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187"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0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表格制作与整理</w:t>
            </w:r>
          </w:p>
        </w:tc>
        <w:tc>
          <w:tcPr>
            <w:tcW w:w="359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hint="eastAsia" w:ascii="仿宋_GB2312" w:hAnsi="仿宋_GB2312" w:eastAsia="仿宋_GB2312" w:cs="仿宋_GB2312"/>
                <w:snapToGrid w:val="0"/>
                <w:color w:val="000000"/>
                <w:kern w:val="0"/>
                <w:szCs w:val="21"/>
              </w:rPr>
              <w:t>掌握基本快捷键的使用、Excel的基本使用方法</w:t>
            </w:r>
            <w:r>
              <w:rPr>
                <w:rFonts w:hint="eastAsia" w:ascii="仿宋_GB2312" w:hAnsi="仿宋_GB2312" w:eastAsia="仿宋_GB2312" w:cs="仿宋_GB2312"/>
                <w:kern w:val="0"/>
                <w:szCs w:val="21"/>
                <w:lang w:bidi="ar"/>
              </w:rPr>
              <w:t>；</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r>
              <w:rPr>
                <w:rFonts w:hint="eastAsia" w:ascii="仿宋_GB2312" w:hAnsi="仿宋_GB2312" w:eastAsia="仿宋_GB2312" w:cs="仿宋_GB2312"/>
                <w:snapToGrid w:val="0"/>
                <w:color w:val="000000"/>
                <w:kern w:val="0"/>
                <w:szCs w:val="21"/>
              </w:rPr>
              <w:t>掌握Excel表格设计技巧。</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1.学会</w:t>
            </w:r>
            <w:r>
              <w:rPr>
                <w:rFonts w:hint="eastAsia" w:ascii="仿宋_GB2312" w:hAnsi="仿宋_GB2312" w:eastAsia="仿宋_GB2312" w:cs="仿宋_GB2312"/>
                <w:snapToGrid w:val="0"/>
                <w:color w:val="000000"/>
                <w:kern w:val="0"/>
                <w:szCs w:val="21"/>
              </w:rPr>
              <w:t>Excel的基本使用方法；</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highlight w:val="yellow"/>
              </w:rPr>
            </w:pPr>
            <w:r>
              <w:rPr>
                <w:rFonts w:hint="eastAsia" w:ascii="仿宋_GB2312" w:hAnsi="仿宋_GB2312" w:eastAsia="仿宋_GB2312" w:cs="仿宋_GB2312"/>
                <w:kern w:val="0"/>
                <w:szCs w:val="21"/>
                <w:lang w:bidi="ar"/>
              </w:rPr>
              <w:t>2.</w:t>
            </w:r>
            <w:r>
              <w:rPr>
                <w:rFonts w:hint="eastAsia" w:ascii="仿宋_GB2312" w:hAnsi="仿宋_GB2312" w:eastAsia="仿宋_GB2312" w:cs="仿宋_GB2312"/>
                <w:snapToGrid w:val="0"/>
                <w:color w:val="000000"/>
                <w:kern w:val="0"/>
                <w:szCs w:val="21"/>
              </w:rPr>
              <w:t>掌握基本快捷键的使用。</w:t>
            </w:r>
          </w:p>
        </w:tc>
        <w:tc>
          <w:tcPr>
            <w:tcW w:w="253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hint="eastAsia" w:ascii="仿宋_GB2312" w:hAnsi="仿宋_GB2312" w:eastAsia="仿宋_GB2312" w:cs="仿宋_GB2312"/>
                <w:snapToGrid w:val="0"/>
                <w:color w:val="000000"/>
                <w:kern w:val="0"/>
                <w:szCs w:val="21"/>
              </w:rPr>
              <w:t>任务驱动：对入库送货单、入库申请单、货物验收单、入库签收单、入库检验报告等表格进行处理；</w:t>
            </w:r>
          </w:p>
          <w:p>
            <w:pPr>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w:t>
            </w:r>
            <w:r>
              <w:rPr>
                <w:rFonts w:hint="eastAsia" w:ascii="仿宋_GB2312" w:hAnsi="仿宋_GB2312" w:eastAsia="仿宋_GB2312" w:cs="仿宋_GB2312"/>
                <w:snapToGrid w:val="0"/>
                <w:color w:val="000000"/>
                <w:kern w:val="0"/>
                <w:szCs w:val="21"/>
              </w:rPr>
              <w:t>使用Excel进行表格设计，使学生具有严谨认真的工作态度；</w:t>
            </w:r>
          </w:p>
          <w:p>
            <w:pPr>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w:t>
            </w:r>
            <w:r>
              <w:rPr>
                <w:rFonts w:hint="eastAsia" w:ascii="仿宋_GB2312" w:hAnsi="仿宋_GB2312" w:eastAsia="仿宋_GB2312" w:cs="仿宋_GB2312"/>
                <w:snapToGrid w:val="0"/>
                <w:color w:val="000000"/>
                <w:kern w:val="0"/>
                <w:szCs w:val="21"/>
              </w:rPr>
              <w:t>考核与点评。</w:t>
            </w:r>
          </w:p>
        </w:tc>
        <w:tc>
          <w:tcPr>
            <w:tcW w:w="1187"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5"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0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snapToGrid w:val="0"/>
                <w:color w:val="000000"/>
                <w:kern w:val="0"/>
                <w:szCs w:val="21"/>
              </w:rPr>
              <w:t>图形组合设计</w:t>
            </w:r>
          </w:p>
        </w:tc>
        <w:tc>
          <w:tcPr>
            <w:tcW w:w="359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1.掌握Excel简单自选图形边线设置、填充设置、大小设置及组合等基本操作技能；</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2.掌握Excel复杂图形的组合、合理布局等处理技巧；</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3.熟悉文本框、带圈字符等对象的使用方法。</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1.学会Excel简单自选图形边线设置、填充设置、大小设置及组合等；</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2.掌握文本框、带圈字符等对象的使用方法。</w:t>
            </w:r>
          </w:p>
        </w:tc>
        <w:tc>
          <w:tcPr>
            <w:tcW w:w="253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hint="eastAsia" w:ascii="仿宋_GB2312" w:hAnsi="仿宋_GB2312" w:eastAsia="仿宋_GB2312" w:cs="仿宋_GB2312"/>
                <w:snapToGrid w:val="0"/>
                <w:color w:val="000000"/>
                <w:kern w:val="0"/>
                <w:szCs w:val="21"/>
              </w:rPr>
              <w:t>播放视频：重温重叠式、纵横交错式、正反交错式、旋转交错式四种堆码形式；</w:t>
            </w:r>
          </w:p>
          <w:p>
            <w:pPr>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w:t>
            </w:r>
            <w:r>
              <w:rPr>
                <w:rFonts w:hint="eastAsia" w:ascii="仿宋_GB2312" w:hAnsi="仿宋_GB2312" w:eastAsia="仿宋_GB2312" w:cs="仿宋_GB2312"/>
                <w:snapToGrid w:val="0"/>
                <w:color w:val="000000"/>
                <w:kern w:val="0"/>
                <w:szCs w:val="21"/>
              </w:rPr>
              <w:t>区分主视图、俯视图视角；</w:t>
            </w:r>
          </w:p>
          <w:p>
            <w:pPr>
              <w:autoSpaceDE w:val="0"/>
              <w:autoSpaceDN w:val="0"/>
              <w:adjustRightInd w:val="0"/>
              <w:snapToGrid w:val="0"/>
              <w:spacing w:line="360" w:lineRule="exact"/>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kern w:val="0"/>
                <w:szCs w:val="21"/>
                <w:lang w:bidi="ar"/>
              </w:rPr>
              <w:t>3.</w:t>
            </w:r>
            <w:r>
              <w:rPr>
                <w:rFonts w:hint="eastAsia" w:ascii="仿宋_GB2312" w:hAnsi="仿宋_GB2312" w:eastAsia="仿宋_GB2312" w:cs="仿宋_GB2312"/>
                <w:snapToGrid w:val="0"/>
                <w:color w:val="000000"/>
                <w:kern w:val="0"/>
                <w:szCs w:val="21"/>
              </w:rPr>
              <w:t>任务驱动：发送素材案例，模拟超市货物实例，让学生用Excel表格完成仓储货物组托设计、仓库选址规划设计图；</w:t>
            </w:r>
          </w:p>
          <w:p>
            <w:pPr>
              <w:autoSpaceDE w:val="0"/>
              <w:autoSpaceDN w:val="0"/>
              <w:adjustRightInd w:val="0"/>
              <w:snapToGrid w:val="0"/>
              <w:spacing w:line="360" w:lineRule="exact"/>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4.教师点评。</w:t>
            </w:r>
          </w:p>
        </w:tc>
        <w:tc>
          <w:tcPr>
            <w:tcW w:w="1187"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0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数据计算与统计</w:t>
            </w:r>
          </w:p>
        </w:tc>
        <w:tc>
          <w:tcPr>
            <w:tcW w:w="359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1.掌握Excel各类数据格式的设置方法以及COUNT、RANK、SUM、AVERAGE等基础函数的使用方法；</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2.掌握VLOOKUP、SUMIF、COUNTIF、SUMIFS、COUNTIFS等高级函数的应用；</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3.掌握Excel数组公式的应用。</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1.能知道Excel数组公式的应用；</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2.学会VLOOKUP、SUMIF、COUNTIF、SUMIFS、COUNTIFS等高级函数的应用；</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3.认识Excel基础函数的使用方法。</w:t>
            </w:r>
          </w:p>
        </w:tc>
        <w:tc>
          <w:tcPr>
            <w:tcW w:w="253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1.教师讲解并示范各类函数的应用场景；</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2.创设情境，分发任务进行函数练习；</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3.将某公司营销数据的处理案例分发给学生，让学生快速获得需要统计分析的数据。</w:t>
            </w:r>
          </w:p>
        </w:tc>
        <w:tc>
          <w:tcPr>
            <w:tcW w:w="1187"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0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项目四</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snapToGrid w:val="0"/>
                <w:color w:val="000000"/>
                <w:kern w:val="0"/>
                <w:szCs w:val="21"/>
              </w:rPr>
              <w:t>数据管理与查询</w:t>
            </w:r>
          </w:p>
        </w:tc>
        <w:tc>
          <w:tcPr>
            <w:tcW w:w="359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1.掌握数据清单的概念；</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2.掌握数据排序和筛选操作；</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3.掌握数据分类汇总操作；</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4.掌握合并计算操作；</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5.认识数据透视表的概念及作用，掌握数据透视表字段的设置方法；</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6.能够对创建的数据透视表进行内容和格式设置，能够解决基于同一数据源多个数据透视表相互影响的问题。</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1.能理解数据清单的概念；</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2.学会合并计算操作；</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rPr>
              <w:t>3.认识</w:t>
            </w:r>
            <w:r>
              <w:rPr>
                <w:rFonts w:hint="eastAsia" w:ascii="仿宋_GB2312" w:hAnsi="仿宋_GB2312" w:eastAsia="仿宋_GB2312" w:cs="仿宋_GB2312"/>
                <w:kern w:val="0"/>
                <w:szCs w:val="21"/>
                <w:lang w:bidi="ar"/>
              </w:rPr>
              <w:t>数据排序和筛选操作；</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rPr>
              <w:t>4.掌握</w:t>
            </w:r>
            <w:r>
              <w:rPr>
                <w:rFonts w:hint="eastAsia" w:ascii="仿宋_GB2312" w:hAnsi="仿宋_GB2312" w:eastAsia="仿宋_GB2312" w:cs="仿宋_GB2312"/>
                <w:kern w:val="0"/>
                <w:szCs w:val="21"/>
                <w:lang w:bidi="ar"/>
              </w:rPr>
              <w:t>数据透视表的概念及作用；</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rPr>
              <w:t>5.能对</w:t>
            </w:r>
            <w:r>
              <w:rPr>
                <w:rFonts w:hint="eastAsia" w:ascii="仿宋_GB2312" w:hAnsi="仿宋_GB2312" w:eastAsia="仿宋_GB2312" w:cs="仿宋_GB2312"/>
                <w:kern w:val="0"/>
                <w:szCs w:val="21"/>
                <w:lang w:bidi="ar"/>
              </w:rPr>
              <w:t>数据分类汇总操作有了解。</w:t>
            </w:r>
          </w:p>
        </w:tc>
        <w:tc>
          <w:tcPr>
            <w:tcW w:w="253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1.任务驱动：发放素材，建立如素材所示的数据清单，按要求完成排序、筛选、分类汇总、合并计算、创建数据透视表等操作；</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2.重点知识讲解、拓展；</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3.小组讨论梳理实施步骤，使同学具有合作探究的精神。</w:t>
            </w:r>
          </w:p>
        </w:tc>
        <w:tc>
          <w:tcPr>
            <w:tcW w:w="1187"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10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项目五</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snapToGrid w:val="0"/>
                <w:color w:val="000000"/>
                <w:kern w:val="0"/>
                <w:szCs w:val="21"/>
              </w:rPr>
              <w:t>数据可视化表达</w:t>
            </w:r>
          </w:p>
        </w:tc>
        <w:tc>
          <w:tcPr>
            <w:tcW w:w="359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1.掌握数据可视化的含义及概念；</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2.知道常见的数据可视化工具；</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3.掌握柱状图、折线图、散点图、饼状图等图表的设计制作方法及应用场景。</w:t>
            </w: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1.能对数据可视化的含义及概念熟练运用；</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2.学会数据可视化工具；</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rPr>
              <w:t>3.认识</w:t>
            </w:r>
            <w:r>
              <w:rPr>
                <w:rFonts w:hint="eastAsia" w:ascii="仿宋_GB2312" w:hAnsi="仿宋_GB2312" w:eastAsia="仿宋_GB2312" w:cs="仿宋_GB2312"/>
                <w:kern w:val="0"/>
                <w:szCs w:val="21"/>
                <w:lang w:bidi="ar"/>
              </w:rPr>
              <w:t>数据可视化工具。</w:t>
            </w:r>
          </w:p>
        </w:tc>
        <w:tc>
          <w:tcPr>
            <w:tcW w:w="253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1.播放视频：利用Flourish、Tableau等数据可视化软件应用视频；</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2.发放某物流公司年度销售报表；</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3.学生根据物流公司经营数据表生成柱形图、折线图、饼图等图表。</w:t>
            </w:r>
          </w:p>
        </w:tc>
        <w:tc>
          <w:tcPr>
            <w:tcW w:w="1187"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10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项目六</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snapToGrid w:val="0"/>
                <w:color w:val="000000"/>
                <w:kern w:val="0"/>
                <w:szCs w:val="21"/>
              </w:rPr>
              <w:t>仓储管理数据分析</w:t>
            </w:r>
          </w:p>
        </w:tc>
        <w:tc>
          <w:tcPr>
            <w:tcW w:w="359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1.掌握ABC分类法，能解决仓储作业中的商品分类问题；</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2.掌握EIQ分析法，解决制定分拣作业方式问题；</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3.掌握EOQ分析方法，解决合理化仓库的库容问题。</w:t>
            </w: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1.学会ABC分类法，能够熟练仓储作业中的商品分类问题；</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2.掌握并能够运用好EOQ、EIQ分析法解决问题。</w:t>
            </w:r>
          </w:p>
        </w:tc>
        <w:tc>
          <w:tcPr>
            <w:tcW w:w="253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1.教师讲解并演练重点知识；</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2.任务驱动：发放素材，学生根据素材图标进行分析；</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3.小组互评，梳理流程步骤，使学生具有归纳总结的能力；</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4.教师点评总结。</w:t>
            </w:r>
          </w:p>
        </w:tc>
        <w:tc>
          <w:tcPr>
            <w:tcW w:w="1187"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10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项目七</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snapToGrid w:val="0"/>
                <w:color w:val="000000"/>
                <w:kern w:val="0"/>
                <w:szCs w:val="21"/>
              </w:rPr>
              <w:t>运输规划数据分析</w:t>
            </w:r>
          </w:p>
        </w:tc>
        <w:tc>
          <w:tcPr>
            <w:tcW w:w="359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1.掌握Excel规划求解功能；</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2.掌握节约里程法的Excel求解。</w:t>
            </w: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1.学会并掌握好Excel规划求解功能；</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2.掌握节约里程法的Excel求解。</w:t>
            </w:r>
          </w:p>
        </w:tc>
        <w:tc>
          <w:tcPr>
            <w:tcW w:w="253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1.教师讲解并演练重点知识及操作步骤；</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2.任务驱动：模拟某配送中心的配送作业规划，让学生能设计客户货物配送路线方案；</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能利用规划求解功能解决运输配送量问题。</w:t>
            </w:r>
          </w:p>
        </w:tc>
        <w:tc>
          <w:tcPr>
            <w:tcW w:w="1187"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10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项目八</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snapToGrid w:val="0"/>
                <w:color w:val="000000"/>
                <w:kern w:val="0"/>
                <w:szCs w:val="21"/>
              </w:rPr>
              <w:t>配送管理数据分析</w:t>
            </w:r>
          </w:p>
        </w:tc>
        <w:tc>
          <w:tcPr>
            <w:tcW w:w="3593"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1.掌握配送作业计划制定、订单体积和重量计算、配送运费计算、配送时效分析；</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2.熟练掌握配送作业计划制定、订单体积重量计算、配送运费计算、配送时效分析的方法和步骤。</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1.学会配送作业计划制定、订单体积并掌握好重量计算、配送运费计算、配送时效分析；</w:t>
            </w:r>
          </w:p>
          <w:p>
            <w:pPr>
              <w:widowControl/>
              <w:tabs>
                <w:tab w:val="left" w:pos="312"/>
              </w:tabs>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 熟练运用配送作业计划制定、订单体积重量计算、配送运费计算等方式。</w:t>
            </w:r>
          </w:p>
        </w:tc>
        <w:tc>
          <w:tcPr>
            <w:tcW w:w="253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1.教师给定任务案例；</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2.学生根据步骤提示自主研学；</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3.教师点评和讲解；</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4.学生完成实践训练题目；</w:t>
            </w:r>
          </w:p>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5.考核与点评。</w:t>
            </w:r>
          </w:p>
        </w:tc>
        <w:tc>
          <w:tcPr>
            <w:tcW w:w="1187"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9</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（1）课程教学主要采取理论和实训两大模块相结合的模式。通过列举实际案例，教师操作并演示解决过程。在演示的同时对相关内容进行讲解，尤其是对易错点进行重复演示。</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在演示课程结束后，将练习的素材分发给每个学生自行进行练习，针对学生提问比较多的知识点再进行讲解。同时利用教师演示终端对学生练习情况进行监督。在课程演示结束后布置课堂练习，要求学生在下课后必须全部提交，以此作为平时的考核。</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（4）针对不同的学习内容和学生个体差异，采用小组合作的学习方式，加强组员之间、小组之间的及时沟通和交流，促进学生在教师指导下主动地、富有个性地学习。</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采用过程性评价与结果性评价相结合的多元化评价方式。突出“过程考核与结果考核相结合，教师评价与学生自评相结合”的原则。过程考核贯穿于整个教学过程，对每个项目的学习过程进行考核，体现考核的公平性和公正性，促进学生在课程学习全过程中保持持续性动力。结果性考核采用机考的方式进行测试，具体考核方式如下：实践考核（机考）60%：期末考试(40%)、期中考试（20%）；平时考核40%：考勤(10%)、课堂发言（10%）、课堂练习(20%)。</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（1）课堂教学条件：多媒体教室、多媒体教学资料。</w:t>
      </w:r>
    </w:p>
    <w:p>
      <w:pPr>
        <w:adjustRightInd w:val="0"/>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（2）实训条件：参照实训室配备标准进行，建议师生比为1:20，不超过1:30。</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4.教材编写与选用</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（1）教师教学一般依据专业教学标准的相关课程要求、课程标准、教材来组织教学内容。教材原则上需从国家和省市发布的省级以上规划教材目录中选用。</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（2）所用教材的编写需深度贯彻习近平新时代中国特色社会主义，弘扬社会主义核心价值观，积极落实二十大精神，及时引进行业企业最新新理念、新技术、新设备、新模式等。</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（3）教材内容尽量做到简练、准确，以物流企业真实的工作任务导入教学，激发学生兴趣；学习单元设计为行动任务，教学内容能动性强。教材语言表述应生动活泼，栏目丰富多变，体例简洁实用。</w:t>
      </w:r>
    </w:p>
    <w:p>
      <w:pPr>
        <w:snapToGrid w:val="0"/>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根据课程目标、学生实际以及本课程的抽象性、逻辑性、应用性等特点，本课程的教学应该建设由文字教材、课件等多种媒体教学资源为一体的配套教材。以文字教材为中心，提供内涵不同、形式多样的学习支持服务，共同完成教学任务，达成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959"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69"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6"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widowControl/>
              <w:kinsoku w:val="0"/>
              <w:autoSpaceDE w:val="0"/>
              <w:autoSpaceDN w:val="0"/>
              <w:adjustRightInd w:val="0"/>
              <w:snapToGrid w:val="0"/>
              <w:spacing w:line="38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snapToGrid w:val="0"/>
                <w:color w:val="000000"/>
                <w:kern w:val="0"/>
                <w:szCs w:val="21"/>
              </w:rPr>
              <w:t>快捷键、Excel的基本使用方法</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Excel表格设计技巧</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Excel图形的组合、合理布局处理</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文本框、带圈字符等对象的使用方法</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Excel各类数据格式的设置方法</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高级函数的应用</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snapToGrid w:val="0"/>
                <w:color w:val="000000"/>
                <w:kern w:val="0"/>
                <w:szCs w:val="21"/>
              </w:rPr>
              <w:t>Excel数组公式的应用</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数据清单的概念</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数据排序和筛选操作</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合并计算操作</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数据分类汇总操作</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数据可视化的含义及概念</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图表的设计制作方法及应用场景</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仓储作业中的商品分类</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制定分拣作业方式</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掌握Excel规划求解功能</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掌握节约里程法的Excel求解</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snapToGrid w:val="0"/>
                <w:color w:val="000000"/>
                <w:kern w:val="0"/>
                <w:szCs w:val="21"/>
              </w:rPr>
            </w:pPr>
            <w:r>
              <w:rPr>
                <w:rFonts w:hint="eastAsia" w:ascii="仿宋_GB2312" w:hAnsi="仿宋_GB2312" w:eastAsia="仿宋_GB2312" w:cs="仿宋_GB2312"/>
                <w:snapToGrid w:val="0"/>
                <w:color w:val="000000"/>
                <w:kern w:val="0"/>
                <w:szCs w:val="21"/>
              </w:rPr>
              <w:t>合理化仓库的库容</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hint="eastAsia" w:ascii="仿宋_GB2312" w:hAnsi="仿宋_GB2312" w:eastAsia="仿宋_GB2312" w:cs="仿宋_GB2312"/>
                <w:kern w:val="0"/>
                <w:szCs w:val="21"/>
                <w:lang w:eastAsia="zh-CN" w:bidi="ar"/>
              </w:rPr>
            </w:pPr>
            <w:r>
              <w:rPr>
                <w:rFonts w:hint="eastAsia" w:ascii="仿宋_GB2312" w:hAnsi="仿宋_GB2312" w:eastAsia="仿宋_GB2312" w:cs="仿宋_GB2312"/>
                <w:kern w:val="0"/>
                <w:szCs w:val="21"/>
                <w:lang w:val="en-US" w:eastAsia="zh-CN" w:bidi="ar"/>
              </w:rPr>
              <w:t>4</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学生练习，分组教学</w:t>
            </w:r>
          </w:p>
        </w:tc>
      </w:tr>
    </w:tbl>
    <w:p>
      <w:pPr>
        <w:snapToGrid w:val="0"/>
        <w:spacing w:before="120" w:beforeLines="50" w:after="120" w:afterLines="50" w:line="580" w:lineRule="exact"/>
        <w:jc w:val="center"/>
        <w:rPr>
          <w:rFonts w:ascii="方正小标宋简体" w:hAnsi="方正小标宋简体" w:eastAsia="方正小标宋简体" w:cs="方正小标宋简体"/>
          <w:sz w:val="32"/>
          <w:szCs w:val="32"/>
        </w:rPr>
      </w:pPr>
    </w:p>
    <w:p>
      <w:pPr>
        <w:widowControl/>
        <w:jc w:val="left"/>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after="120" w:afterLines="50" w:line="56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客户服务与管理课程标准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(一)课程性质与任务</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客户服务与管理是中职物流服务与管理专业的专业拓展课，本课程重点介绍物流客户服务的基本知识、操作技能，具体包括物流企业前台客户接待、物流客户投诉处理、对物流客户进行回访及物流大客户管理等模块，使学生具有完成物流客户服务部门关于前台客户来访或咨询接待工作、客户投诉处理、客户回访及对大客户进行日常管理与维护等能力。</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1.素质目标</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（1）具有家国情怀、职业情感和从业诉求；</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（2）具有较高的情商和逆商；</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（3）具有劳动精神、劳模精神、工匠精神、竞争意识和团队合作精神；</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（4）具有工作认真细致的良好行为习惯；</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（5）具有较强的职业素质、服务意识、社会责任心。</w:t>
      </w:r>
    </w:p>
    <w:p>
      <w:pPr>
        <w:snapToGrid w:val="0"/>
        <w:spacing w:line="560" w:lineRule="exact"/>
        <w:ind w:firstLine="640" w:firstLineChars="200"/>
        <w:rPr>
          <w:rFonts w:ascii="仿宋_GB2312" w:hAnsi="仿宋_GB2312" w:eastAsia="仿宋_GB2312" w:cs="仿宋_GB2312"/>
          <w:kern w:val="0"/>
          <w:sz w:val="32"/>
          <w:szCs w:val="32"/>
        </w:rPr>
      </w:pPr>
      <w:r>
        <w:rPr>
          <w:rFonts w:ascii="仿宋_GB2312" w:hAnsi="仿宋_GB2312" w:eastAsia="仿宋_GB2312" w:cs="仿宋_GB2312"/>
          <w:kern w:val="0"/>
          <w:sz w:val="32"/>
          <w:szCs w:val="32"/>
        </w:rPr>
        <w:t>2.</w:t>
      </w:r>
      <w:r>
        <w:rPr>
          <w:rFonts w:hint="eastAsia" w:ascii="仿宋_GB2312" w:hAnsi="仿宋_GB2312" w:eastAsia="仿宋_GB2312" w:cs="仿宋_GB2312"/>
          <w:kern w:val="0"/>
          <w:sz w:val="32"/>
          <w:szCs w:val="32"/>
        </w:rPr>
        <w:t>知识目标</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（1）掌握物流客户服务的内容、要求和一般流程；</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（2）了解物流客户资料收集途径、方法以及标准业务用语；</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（3）掌握处理物流客户来访、来电、来函的流程和方式；</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（4）熟悉物流订单处理的基本流程；</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（5）掌握物流客户投诉的流程、内容；</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（6）熟悉评估物流客户信用和物流客户服务风险的方法。</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3.能力目标</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（1）会收集物流客户信息并进行分类管理；</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（2）能够按服务礼仪要求接待物流客户；</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（3）能够按照标准订单处理流程服务客户；</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（4）能够按流程处理物流客户投诉；</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（5）能够进行物流客户关系维护；</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（6）能够正确评估物流客户服务风险；</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（7）能够熟练使用客户关系管理软件。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(三)参考学时</w:t>
      </w:r>
    </w:p>
    <w:p>
      <w:pPr>
        <w:autoSpaceDE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72学时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(四)课程学分</w:t>
      </w:r>
    </w:p>
    <w:p>
      <w:pPr>
        <w:autoSpaceDE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4学分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(五)课程内容和要求</w:t>
      </w:r>
    </w:p>
    <w:tbl>
      <w:tblPr>
        <w:tblStyle w:val="15"/>
        <w:tblW w:w="92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69"/>
        <w:gridCol w:w="3275"/>
        <w:gridCol w:w="3172"/>
        <w:gridCol w:w="10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60"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069"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教学单元</w:t>
            </w:r>
          </w:p>
        </w:tc>
        <w:tc>
          <w:tcPr>
            <w:tcW w:w="3275"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3172"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091"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660"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069"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物流客户</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服务工作</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体验</w:t>
            </w:r>
          </w:p>
        </w:tc>
        <w:tc>
          <w:tcPr>
            <w:tcW w:w="3275"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1.掌握不同类型物流企业客户服务的内容；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2.掌握物流企业的服务要素；</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3.熟悉物流客户服务的要求。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教学要求：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通过学习，理解物流客户服务工作体验。</w:t>
            </w:r>
          </w:p>
        </w:tc>
        <w:tc>
          <w:tcPr>
            <w:tcW w:w="3172"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1.参观典型物流企业或观看视频，了解物流企业客户服务工作的概况，体验物流客户服务工作场景。培养学生从事客户服务的自信心和自豪感。撰写观后感；</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2.上网查找，了解物流客户服务内容、要求和流程。</w:t>
            </w:r>
          </w:p>
        </w:tc>
        <w:tc>
          <w:tcPr>
            <w:tcW w:w="1091" w:type="dxa"/>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0" w:type="dxa"/>
            <w:vAlign w:val="center"/>
          </w:tcPr>
          <w:p>
            <w:pPr>
              <w:widowControl/>
              <w:tabs>
                <w:tab w:val="left" w:pos="312"/>
              </w:tabs>
              <w:kinsoku w:val="0"/>
              <w:autoSpaceDE w:val="0"/>
              <w:autoSpaceDN w:val="0"/>
              <w:adjustRightInd w:val="0"/>
              <w:snapToGrid w:val="0"/>
              <w:spacing w:line="360" w:lineRule="exact"/>
              <w:jc w:val="center"/>
              <w:textAlignment w:val="baseline"/>
              <w:rPr>
                <w:rFonts w:hint="eastAsia" w:ascii="仿宋_GB2312" w:hAnsi="仿宋_GB2312" w:eastAsia="仿宋_GB2312" w:cs="仿宋_GB2312"/>
                <w:kern w:val="0"/>
                <w:szCs w:val="21"/>
              </w:rPr>
            </w:pP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069" w:type="dxa"/>
            <w:vAlign w:val="center"/>
          </w:tcPr>
          <w:p>
            <w:pPr>
              <w:widowControl/>
              <w:tabs>
                <w:tab w:val="left" w:pos="312"/>
              </w:tabs>
              <w:kinsoku w:val="0"/>
              <w:autoSpaceDE w:val="0"/>
              <w:autoSpaceDN w:val="0"/>
              <w:adjustRightInd w:val="0"/>
              <w:snapToGrid w:val="0"/>
              <w:spacing w:line="360" w:lineRule="exact"/>
              <w:jc w:val="center"/>
              <w:textAlignment w:val="baseline"/>
              <w:rPr>
                <w:rFonts w:hint="eastAsia" w:ascii="仿宋_GB2312" w:hAnsi="仿宋_GB2312" w:eastAsia="仿宋_GB2312" w:cs="仿宋_GB2312"/>
                <w:kern w:val="0"/>
                <w:szCs w:val="21"/>
              </w:rPr>
            </w:pP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物流客户 接待</w:t>
            </w:r>
          </w:p>
        </w:tc>
        <w:tc>
          <w:tcPr>
            <w:tcW w:w="3275"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b/>
                <w:bCs/>
                <w:kern w:val="0"/>
                <w:szCs w:val="21"/>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1.熟悉服务礼仪的相关知识，能按服务礼仪要求接待物流客户；</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2.掌握物流客户资料收集途径和方法；</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 掌握物流客户服务标准业务用语；</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教学要求：</w:t>
            </w:r>
          </w:p>
          <w:p>
            <w:pPr>
              <w:widowControl/>
              <w:tabs>
                <w:tab w:val="left" w:pos="312"/>
              </w:tabs>
              <w:kinsoku w:val="0"/>
              <w:autoSpaceDE w:val="0"/>
              <w:autoSpaceDN w:val="0"/>
              <w:adjustRightInd w:val="0"/>
              <w:snapToGrid w:val="0"/>
              <w:spacing w:line="360" w:lineRule="exact"/>
              <w:textAlignment w:val="baseline"/>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rPr>
              <w:t>掌握处理物流客户来访、来电、来函的礼仪以及流程和方式</w:t>
            </w:r>
            <w:r>
              <w:rPr>
                <w:rFonts w:hint="eastAsia" w:ascii="仿宋_GB2312" w:hAnsi="仿宋_GB2312" w:eastAsia="仿宋_GB2312" w:cs="仿宋_GB2312"/>
                <w:kern w:val="0"/>
                <w:szCs w:val="21"/>
                <w:lang w:eastAsia="zh-CN"/>
              </w:rPr>
              <w:t>。</w:t>
            </w:r>
          </w:p>
        </w:tc>
        <w:tc>
          <w:tcPr>
            <w:tcW w:w="3172"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1.观看视频，进行职业形象塑造模拟训练,掌握坐立行走和仪容仪表的礼仪服务要求；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2.观看服务接待基本礼仪视频,模拟接待物流客户；提升商务礼仪水准；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3.通过互联网、报刊杂志、现场采访等渠道收集特定客户的相关资料；</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4.模拟情景,体验不同角色，处理物流客户来访、来电、来函，并做好记录，让学生建立SOP意识。</w:t>
            </w:r>
          </w:p>
        </w:tc>
        <w:tc>
          <w:tcPr>
            <w:tcW w:w="1091" w:type="dxa"/>
            <w:vAlign w:val="center"/>
          </w:tcPr>
          <w:p>
            <w:pPr>
              <w:widowControl/>
              <w:tabs>
                <w:tab w:val="left" w:pos="312"/>
              </w:tabs>
              <w:kinsoku w:val="0"/>
              <w:autoSpaceDE w:val="0"/>
              <w:autoSpaceDN w:val="0"/>
              <w:adjustRightInd w:val="0"/>
              <w:snapToGrid w:val="0"/>
              <w:spacing w:line="380" w:lineRule="exact"/>
              <w:jc w:val="center"/>
              <w:textAlignment w:val="baseline"/>
              <w:rPr>
                <w:rFonts w:hint="eastAsia" w:ascii="仿宋_GB2312" w:hAnsi="仿宋_GB2312" w:eastAsia="仿宋_GB2312" w:cs="仿宋_GB2312"/>
                <w:kern w:val="0"/>
                <w:szCs w:val="21"/>
              </w:rPr>
            </w:pPr>
          </w:p>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0"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069"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物流订单</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处理流程</w:t>
            </w:r>
          </w:p>
        </w:tc>
        <w:tc>
          <w:tcPr>
            <w:tcW w:w="3275"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b/>
                <w:bCs/>
                <w:kern w:val="0"/>
                <w:szCs w:val="21"/>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1.熟悉物流订单处理基本流程；</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2.掌握物流订单受理、订单管理、订单跟踪、订单整理、订单对账、订单结算等的具体工作任务。</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教学要求：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熟练物流订单受理、订单管理、订单跟踪、订单整理、订单对账、订单结算等的具体工作任务等。</w:t>
            </w:r>
          </w:p>
        </w:tc>
        <w:tc>
          <w:tcPr>
            <w:tcW w:w="3172"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1.模拟具体物流企业的订单处理流程进行实训任务；</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2.观看订单处理的视频；</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3.分岗位模拟运作订单处理，提高全局意识和服务意识；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4.制定或参考相关企业岗位的工作任务和管理制度，体验工作情境。</w:t>
            </w:r>
          </w:p>
        </w:tc>
        <w:tc>
          <w:tcPr>
            <w:tcW w:w="1091" w:type="dxa"/>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0"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069"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物流客户</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关系维护</w:t>
            </w:r>
          </w:p>
        </w:tc>
        <w:tc>
          <w:tcPr>
            <w:tcW w:w="3275"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b/>
                <w:bCs/>
                <w:kern w:val="0"/>
                <w:szCs w:val="21"/>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1.了解物流客户分类管理的方法；</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2.掌握物流客户档案的内容；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3.掌握物流客户进行定期回访的步骤并能制作物流客户意见表；</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b/>
                <w:bCs/>
                <w:kern w:val="0"/>
                <w:szCs w:val="21"/>
              </w:rPr>
              <w:t>教学要求：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1.了解物流客户服务指标的构成；</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2.掌握维护物流老客户的基本策略；</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3.学会物流客户信息管理系统。</w:t>
            </w:r>
          </w:p>
        </w:tc>
        <w:tc>
          <w:tcPr>
            <w:tcW w:w="3172"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1.采用案例教学法，通过多媒体演示讲解，按指定标准对物流客户进行分析、分类、排序的方法；</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2.由教师进行演示，学生模拟练习填写客户资料信息卡；</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3.通过创设情境体验不同角色，模拟用各种方法对物流客户回访，并填写客户意见表；</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4.通过案例分析,区分客户的类型，合理运用物流客户的基本保有策略；</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5.通过多媒体教学软件操作,学会物流客户信息的管理和检索。提升信息化素养。</w:t>
            </w:r>
          </w:p>
        </w:tc>
        <w:tc>
          <w:tcPr>
            <w:tcW w:w="1091" w:type="dxa"/>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0"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1069"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物流客户</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投诉处理</w:t>
            </w:r>
          </w:p>
        </w:tc>
        <w:tc>
          <w:tcPr>
            <w:tcW w:w="3275"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b/>
                <w:bCs/>
                <w:kern w:val="0"/>
                <w:szCs w:val="21"/>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1.了解物流客户投诉心理；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2.掌握物流客户投诉的流程；</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3.掌握物流客户投诉的内容，并进行整理。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教学要求：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1.掌握基本的统计方法，会统计分析物流服务质量问题；</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2.能对客户的投诉提出合理的建议，并维护物流客户的合法权益。</w:t>
            </w:r>
          </w:p>
        </w:tc>
        <w:tc>
          <w:tcPr>
            <w:tcW w:w="3172"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1.通过观看录象或案例分析,分析物流客户投诉时的心理,及时发现物流客户的最终诉求；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2.角色体验，设置模拟情景，按流程处理物流客户电话、信件、来访投诉，提高情商和逆商；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3.利用案例教学法，根据提供的客户投诉资料，统计分析物流客户服务质量问题，并提出相应措施，培养创新意识；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4.通过案例分析，正确运用相关的法律法规，增强维护客户、消费者权益的意识。</w:t>
            </w:r>
          </w:p>
        </w:tc>
        <w:tc>
          <w:tcPr>
            <w:tcW w:w="1091" w:type="dxa"/>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0"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1069" w:type="dxa"/>
            <w:vAlign w:val="center"/>
          </w:tcPr>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物流客户</w:t>
            </w:r>
          </w:p>
          <w:p>
            <w:pPr>
              <w:widowControl/>
              <w:tabs>
                <w:tab w:val="left" w:pos="312"/>
              </w:tabs>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风险评估</w:t>
            </w:r>
          </w:p>
        </w:tc>
        <w:tc>
          <w:tcPr>
            <w:tcW w:w="3275"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b/>
                <w:bCs/>
                <w:kern w:val="0"/>
                <w:szCs w:val="21"/>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1.了解物流客户风险评估相关知识；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2.熟悉评估物流客户信用和物流客户服务风险的方法；</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b/>
                <w:bCs/>
                <w:kern w:val="0"/>
                <w:szCs w:val="21"/>
              </w:rPr>
              <w:t>教学要求：</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1.掌握对物流客户服务风险进行分析和预测；</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2.掌握简单的规避风险的措施。</w:t>
            </w:r>
          </w:p>
        </w:tc>
        <w:tc>
          <w:tcPr>
            <w:tcW w:w="3172" w:type="dxa"/>
            <w:vAlign w:val="center"/>
          </w:tcPr>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1.上网查找有关物流客户风险评估的知识和实例，了解客户风险评估的重要性；</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2.采用案例分析法，用5C评估法等常用方法模拟评估物流客户的信用；</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3.通过案例分析，评估物流客户服务风险并提出简单的规避风险的措施。</w:t>
            </w:r>
          </w:p>
        </w:tc>
        <w:tc>
          <w:tcPr>
            <w:tcW w:w="1091" w:type="dxa"/>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立足于加强学生实际操作能力的培养，坚持校企合作、工学结合的人才培养模式，开展理实一体化教学组织模式。利用校内外实训基地，要求基于企业实际工作过程，搭建实景化的虚拟仿真教学场景，可采用角色扮演、模拟情境、案例分析等教学方法，创建典型工作情景，通过体验式、沉浸式学习激发学生的情感发展、知识学习、能力提升，培养学生在物流客户服务行业工作的职业意识和职业素养。通过模拟教学法对物流客户接待、物流客户关系维护等内容进行学习，把任务驱动教学法应用在物流订单处理流程上，案例分析、技能训练等方法可以贯穿应用于整个课程，帮助学生掌握客户服务与管理的相关知识。</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本课程考核原则是坚持评价主体、评价过程、评价方式的多元化。即教师的评价与学生的相互评价、学生的自我评价相结合。</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过程性评价中注重对学生搜集、整理、分析物流客户服务管理各活动的资料过程与能力的评价，运用所掌握的物流客户服务的基本知识，分析物流客户服务实际业务过程与能力的评价，同时也要对学生在课堂讨论、实地参观、小组合作等活动中所表现的学习态度、合作意识等方面进行评价。</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结果性评价可以采用笔试、案例分析、课业等多种方式进行评价。</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注重考核结果对教学的反馈，注重与学生平时的沟通，根据反馈的信息及时采取有效措施对教学进行调控。</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课堂教学条件：多媒体教室、多媒体设备、教学视频、视频等资料。</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教师教学需依据专业教学标准的课程要求，课程标准，参考教材来组织教学内容。教材原则上需从国家和省市发布的省级以上规划教材目录中选用。</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课程所用的教材的编写需深度贯彻习近平新时代中国特色社会主义、弘扬社会主义核心价值观，积极落实二十大精神，及时引进行业最新理念、新技术、新设备、新模式等。</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材形式应图文并茂，言语生动、动画及实际各物流环节操作视频等，符合中职学生的学习特点。为激发学生的学习本课程兴趣，应创设形象生动的教学情境，尽可能采用现代化教学手段，鼓励学校通过购买、检索、校企合作或者自主研发多媒体课件、影像资料、虚拟仿真资料等来提升现代化教学手段，提升学生学习兴趣，降低学生学习难度，帮助学生更好的理解学习内容。</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5.授课进程建议表</w:t>
      </w:r>
    </w:p>
    <w:tbl>
      <w:tblPr>
        <w:tblStyle w:val="36"/>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5375"/>
        <w:gridCol w:w="1125"/>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847"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5375"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125"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85"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5375" w:type="dxa"/>
            <w:vAlign w:val="center"/>
          </w:tcPr>
          <w:p>
            <w:pPr>
              <w:autoSpaceDE w:val="0"/>
              <w:adjustRightInd w:val="0"/>
              <w:snapToGrid w:val="0"/>
              <w:spacing w:line="32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物流客户服务工作体验</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spacing w:line="320" w:lineRule="exact"/>
              <w:ind w:left="21" w:leftChars="10" w:right="21" w:rightChars="10"/>
              <w:jc w:val="center"/>
              <w:rPr>
                <w:rFonts w:ascii="仿宋_GB2312" w:hAnsi="仿宋_GB2312" w:eastAsia="仿宋_GB2312" w:cs="仿宋_GB2312"/>
                <w:kern w:val="0"/>
                <w:szCs w:val="21"/>
              </w:rPr>
            </w:pPr>
            <w:r>
              <w:rPr>
                <w:rFonts w:hint="eastAsia" w:ascii="仿宋_GB2312" w:hAnsi="Calibri" w:eastAsia="仿宋_GB2312"/>
                <w:color w:val="000000"/>
                <w:szCs w:val="21"/>
              </w:rPr>
              <w:t>讲授并观看视频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537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物流客户服务的要求和一般流程</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模拟物流客户服务流程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537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按服务礼仪要求接待物流客户</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观看视频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537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处理物流客户来访、来电、来函的流程</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模拟情景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5375" w:type="dxa"/>
            <w:vAlign w:val="center"/>
          </w:tcPr>
          <w:p>
            <w:pPr>
              <w:spacing w:line="320" w:lineRule="exact"/>
              <w:ind w:left="21" w:leftChars="10" w:right="21" w:rightChars="10"/>
              <w:jc w:val="center"/>
              <w:rPr>
                <w:rFonts w:ascii="仿宋_GB2312" w:hAnsi="Calibri" w:eastAsia="仿宋_GB2312"/>
                <w:color w:val="000000"/>
                <w:szCs w:val="21"/>
              </w:rPr>
            </w:pPr>
            <w:r>
              <w:rPr>
                <w:rFonts w:hint="eastAsia" w:ascii="仿宋_GB2312" w:hAnsi="Calibri" w:eastAsia="仿宋_GB2312"/>
                <w:color w:val="000000"/>
                <w:szCs w:val="21"/>
              </w:rPr>
              <w:t>物流订单处理的基本流程</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模拟情景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537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流订单受理、订单管理、订单跟踪、订单整理、订单对账、订单结算</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分岗位模拟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7</w:t>
            </w:r>
          </w:p>
        </w:tc>
        <w:tc>
          <w:tcPr>
            <w:tcW w:w="5375" w:type="dxa"/>
            <w:vAlign w:val="center"/>
          </w:tcPr>
          <w:p>
            <w:pPr>
              <w:spacing w:line="320" w:lineRule="exact"/>
              <w:ind w:left="21" w:leftChars="10" w:right="21" w:rightChars="10"/>
              <w:jc w:val="center"/>
              <w:rPr>
                <w:rFonts w:ascii="仿宋_GB2312" w:hAnsi="Calibri" w:eastAsia="仿宋_GB2312"/>
                <w:color w:val="000000"/>
                <w:szCs w:val="21"/>
              </w:rPr>
            </w:pPr>
            <w:r>
              <w:rPr>
                <w:rFonts w:hint="eastAsia" w:ascii="仿宋_GB2312" w:hAnsi="Calibri" w:eastAsia="仿宋_GB2312"/>
                <w:color w:val="000000"/>
                <w:szCs w:val="21"/>
              </w:rPr>
              <w:t>物流客户分类管理的方法、档案的内容</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spacing w:line="320" w:lineRule="exact"/>
              <w:ind w:left="21" w:leftChars="10" w:right="21" w:rightChars="10"/>
              <w:jc w:val="center"/>
              <w:rPr>
                <w:rFonts w:ascii="仿宋_GB2312" w:hAnsi="仿宋_GB2312" w:eastAsia="仿宋_GB2312" w:cs="仿宋_GB2312"/>
                <w:kern w:val="0"/>
                <w:szCs w:val="21"/>
              </w:rPr>
            </w:pPr>
            <w:r>
              <w:rPr>
                <w:rFonts w:hint="eastAsia" w:ascii="仿宋_GB2312" w:hAnsi="Calibri" w:eastAsia="仿宋_GB2312"/>
                <w:color w:val="000000"/>
                <w:szCs w:val="21"/>
              </w:rPr>
              <w:t>案例教学法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8</w:t>
            </w:r>
          </w:p>
        </w:tc>
        <w:tc>
          <w:tcPr>
            <w:tcW w:w="5375" w:type="dxa"/>
            <w:vAlign w:val="center"/>
          </w:tcPr>
          <w:p>
            <w:pPr>
              <w:spacing w:line="320" w:lineRule="exact"/>
              <w:ind w:left="21" w:leftChars="10" w:right="21" w:rightChars="10"/>
              <w:jc w:val="center"/>
              <w:rPr>
                <w:rFonts w:ascii="仿宋_GB2312" w:hAnsi="Calibri" w:eastAsia="仿宋_GB2312"/>
                <w:color w:val="000000"/>
                <w:szCs w:val="21"/>
              </w:rPr>
            </w:pPr>
            <w:r>
              <w:rPr>
                <w:rFonts w:hint="eastAsia" w:ascii="仿宋_GB2312" w:hAnsi="Calibri" w:eastAsia="仿宋_GB2312"/>
                <w:color w:val="000000"/>
                <w:szCs w:val="21"/>
              </w:rPr>
              <w:t>物流客户进行定期回访的步骤并能制作物流客户意见表</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讲授法和模拟情景教学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c>
          <w:tcPr>
            <w:tcW w:w="537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操作物流客户信息管理系统</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spacing w:line="320" w:lineRule="exact"/>
              <w:ind w:left="21" w:leftChars="10" w:right="21" w:rightChars="10"/>
              <w:jc w:val="center"/>
              <w:rPr>
                <w:rFonts w:ascii="仿宋_GB2312" w:hAnsi="仿宋_GB2312" w:eastAsia="仿宋_GB2312" w:cs="仿宋_GB2312"/>
                <w:kern w:val="0"/>
                <w:szCs w:val="21"/>
              </w:rPr>
            </w:pPr>
            <w:r>
              <w:rPr>
                <w:rFonts w:hint="eastAsia" w:ascii="仿宋_GB2312" w:hAnsi="Calibri" w:eastAsia="仿宋_GB2312"/>
                <w:color w:val="000000"/>
                <w:szCs w:val="21"/>
              </w:rPr>
              <w:t>多媒体教学软件操作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10</w:t>
            </w:r>
          </w:p>
        </w:tc>
        <w:tc>
          <w:tcPr>
            <w:tcW w:w="5375" w:type="dxa"/>
            <w:vAlign w:val="center"/>
          </w:tcPr>
          <w:p>
            <w:pPr>
              <w:spacing w:line="320" w:lineRule="exact"/>
              <w:ind w:left="21" w:leftChars="10" w:right="21" w:rightChars="10"/>
              <w:jc w:val="center"/>
              <w:rPr>
                <w:rFonts w:ascii="仿宋_GB2312" w:hAnsi="Calibri" w:eastAsia="仿宋_GB2312"/>
                <w:color w:val="000000"/>
                <w:szCs w:val="21"/>
              </w:rPr>
            </w:pPr>
            <w:r>
              <w:rPr>
                <w:rFonts w:hint="eastAsia" w:ascii="仿宋_GB2312" w:hAnsi="Calibri" w:eastAsia="仿宋_GB2312"/>
                <w:color w:val="000000"/>
                <w:szCs w:val="21"/>
              </w:rPr>
              <w:t>物流客户投诉心理、物流客户投诉的流程</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案例分析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11</w:t>
            </w:r>
          </w:p>
        </w:tc>
        <w:tc>
          <w:tcPr>
            <w:tcW w:w="5375" w:type="dxa"/>
            <w:vAlign w:val="center"/>
          </w:tcPr>
          <w:p>
            <w:pPr>
              <w:spacing w:line="320" w:lineRule="exact"/>
              <w:ind w:right="21" w:rightChars="10"/>
              <w:jc w:val="center"/>
              <w:rPr>
                <w:rFonts w:ascii="仿宋_GB2312" w:hAnsi="Calibri" w:eastAsia="仿宋_GB2312"/>
                <w:color w:val="000000"/>
                <w:szCs w:val="21"/>
              </w:rPr>
            </w:pPr>
            <w:r>
              <w:rPr>
                <w:rFonts w:hint="eastAsia" w:ascii="仿宋_GB2312" w:hAnsi="Calibri" w:eastAsia="仿宋_GB2312"/>
                <w:color w:val="000000"/>
                <w:szCs w:val="21"/>
              </w:rPr>
              <w:t>物流客户投诉的内容，并进行整理</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模拟情景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5375" w:type="dxa"/>
            <w:vAlign w:val="center"/>
          </w:tcPr>
          <w:p>
            <w:pPr>
              <w:autoSpaceDE w:val="0"/>
              <w:adjustRightInd w:val="0"/>
              <w:snapToGrid w:val="0"/>
              <w:spacing w:line="32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基本的统计方法，会统计分析物流服务质量问题</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讲授与模拟结合分析</w:t>
            </w:r>
          </w:p>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服务质量问题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13</w:t>
            </w:r>
          </w:p>
        </w:tc>
        <w:tc>
          <w:tcPr>
            <w:tcW w:w="5375" w:type="dxa"/>
            <w:vAlign w:val="center"/>
          </w:tcPr>
          <w:p>
            <w:pPr>
              <w:autoSpaceDE w:val="0"/>
              <w:adjustRightInd w:val="0"/>
              <w:snapToGrid w:val="0"/>
              <w:spacing w:line="32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能对客户的投诉提出合理的建议，并维护物流客户的合法权益</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案例分析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14</w:t>
            </w:r>
          </w:p>
        </w:tc>
        <w:tc>
          <w:tcPr>
            <w:tcW w:w="5375" w:type="dxa"/>
            <w:vAlign w:val="center"/>
          </w:tcPr>
          <w:p>
            <w:pPr>
              <w:spacing w:line="320" w:lineRule="exact"/>
              <w:ind w:left="21" w:leftChars="10" w:right="21" w:rightChars="10"/>
              <w:jc w:val="center"/>
              <w:rPr>
                <w:rFonts w:ascii="仿宋_GB2312" w:hAnsi="Calibri" w:eastAsia="仿宋_GB2312"/>
                <w:color w:val="000000"/>
                <w:szCs w:val="21"/>
              </w:rPr>
            </w:pPr>
            <w:r>
              <w:rPr>
                <w:rFonts w:hint="eastAsia" w:ascii="仿宋_GB2312" w:hAnsi="Calibri" w:eastAsia="仿宋_GB2312"/>
                <w:color w:val="000000"/>
                <w:szCs w:val="21"/>
              </w:rPr>
              <w:t>物流客户风险评估相关知识</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讲授评估方法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15</w:t>
            </w:r>
          </w:p>
        </w:tc>
        <w:tc>
          <w:tcPr>
            <w:tcW w:w="5375" w:type="dxa"/>
            <w:vAlign w:val="center"/>
          </w:tcPr>
          <w:p>
            <w:pPr>
              <w:spacing w:line="320" w:lineRule="exact"/>
              <w:ind w:left="21" w:leftChars="10" w:right="21" w:rightChars="10"/>
              <w:jc w:val="center"/>
              <w:rPr>
                <w:rFonts w:ascii="仿宋_GB2312" w:hAnsi="Calibri" w:eastAsia="仿宋_GB2312"/>
                <w:color w:val="000000"/>
                <w:szCs w:val="21"/>
              </w:rPr>
            </w:pPr>
            <w:r>
              <w:rPr>
                <w:rFonts w:hint="eastAsia" w:ascii="仿宋_GB2312" w:hAnsi="Calibri" w:eastAsia="仿宋_GB2312"/>
                <w:color w:val="000000"/>
                <w:szCs w:val="21"/>
              </w:rPr>
              <w:t>评估物流客户信用和物流客户服务风险的方法</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模拟评估方法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16</w:t>
            </w:r>
          </w:p>
        </w:tc>
        <w:tc>
          <w:tcPr>
            <w:tcW w:w="5375" w:type="dxa"/>
            <w:vAlign w:val="center"/>
          </w:tcPr>
          <w:p>
            <w:pPr>
              <w:spacing w:line="320" w:lineRule="exact"/>
              <w:ind w:left="21" w:leftChars="10" w:right="21" w:rightChars="10"/>
              <w:jc w:val="center"/>
              <w:rPr>
                <w:rFonts w:ascii="仿宋_GB2312" w:hAnsi="Calibri" w:eastAsia="仿宋_GB2312"/>
                <w:color w:val="000000"/>
                <w:szCs w:val="21"/>
              </w:rPr>
            </w:pPr>
            <w:r>
              <w:rPr>
                <w:rFonts w:hint="eastAsia" w:ascii="仿宋_GB2312" w:hAnsi="Calibri" w:eastAsia="仿宋_GB2312"/>
                <w:color w:val="000000"/>
                <w:szCs w:val="21"/>
              </w:rPr>
              <w:t>对物流客户服务风险进行分析和预测</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5C评估法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17</w:t>
            </w:r>
          </w:p>
        </w:tc>
        <w:tc>
          <w:tcPr>
            <w:tcW w:w="5375" w:type="dxa"/>
            <w:vAlign w:val="center"/>
          </w:tcPr>
          <w:p>
            <w:pPr>
              <w:autoSpaceDE w:val="0"/>
              <w:adjustRightInd w:val="0"/>
              <w:snapToGrid w:val="0"/>
              <w:spacing w:line="320" w:lineRule="exact"/>
              <w:jc w:val="center"/>
              <w:textAlignment w:val="baseline"/>
              <w:rPr>
                <w:rFonts w:ascii="仿宋_GB2312" w:hAnsi="Calibri" w:eastAsia="仿宋_GB2312"/>
                <w:color w:val="000000"/>
                <w:szCs w:val="21"/>
              </w:rPr>
            </w:pPr>
            <w:r>
              <w:rPr>
                <w:rFonts w:hint="eastAsia" w:ascii="仿宋_GB2312" w:hAnsi="Calibri" w:eastAsia="仿宋_GB2312"/>
                <w:color w:val="000000"/>
                <w:szCs w:val="21"/>
              </w:rPr>
              <w:t>简单的规避风险的措施</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280" w:lineRule="exact"/>
              <w:jc w:val="center"/>
              <w:textAlignment w:val="baseline"/>
              <w:rPr>
                <w:rFonts w:ascii="仿宋_GB2312" w:hAnsi="仿宋_GB2312" w:eastAsia="仿宋_GB2312" w:cs="仿宋_GB2312"/>
                <w:kern w:val="0"/>
                <w:szCs w:val="21"/>
              </w:rPr>
            </w:pPr>
            <w:r>
              <w:rPr>
                <w:rFonts w:hint="eastAsia" w:ascii="仿宋_GB2312" w:hAnsi="Calibri" w:eastAsia="仿宋_GB2312"/>
                <w:color w:val="000000"/>
                <w:szCs w:val="21"/>
              </w:rPr>
              <w:t>案例分析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7"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537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总复习，考试</w:t>
            </w:r>
          </w:p>
        </w:tc>
        <w:tc>
          <w:tcPr>
            <w:tcW w:w="112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2385" w:type="dxa"/>
            <w:vAlign w:val="center"/>
          </w:tcPr>
          <w:p>
            <w:pPr>
              <w:autoSpaceDE w:val="0"/>
              <w:adjustRightInd w:val="0"/>
              <w:snapToGrid w:val="0"/>
              <w:spacing w:line="32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复习重难点问题</w:t>
            </w:r>
          </w:p>
        </w:tc>
      </w:tr>
    </w:tbl>
    <w:p>
      <w:pPr>
        <w:autoSpaceDE w:val="0"/>
        <w:adjustRightInd w:val="0"/>
        <w:snapToGrid w:val="0"/>
        <w:spacing w:line="360" w:lineRule="auto"/>
        <w:ind w:firstLine="640" w:firstLineChars="200"/>
        <w:textAlignment w:val="baseline"/>
        <w:rPr>
          <w:rFonts w:ascii="仿宋_GB2312" w:hAnsi="仿宋_GB2312" w:eastAsia="仿宋_GB2312" w:cs="仿宋_GB2312"/>
          <w:sz w:val="32"/>
          <w:szCs w:val="32"/>
          <w:highlight w:val="yellow"/>
        </w:rPr>
      </w:pPr>
    </w:p>
    <w:p>
      <w:pPr>
        <w:widowControl/>
        <w:jc w:val="left"/>
        <w:rPr>
          <w:rFonts w:ascii="Cambria" w:hAnsi="Cambria" w:eastAsia="方正小标宋_GBK"/>
          <w:sz w:val="32"/>
          <w:szCs w:val="32"/>
        </w:rPr>
      </w:pPr>
    </w:p>
    <w:p>
      <w:pPr>
        <w:widowControl/>
        <w:jc w:val="left"/>
        <w:rPr>
          <w:rFonts w:ascii="Cambria" w:hAnsi="Cambria" w:eastAsia="方正小标宋_GBK"/>
          <w:sz w:val="32"/>
          <w:szCs w:val="32"/>
        </w:rPr>
      </w:pPr>
      <w:r>
        <w:rPr>
          <w:rFonts w:ascii="Cambria" w:hAnsi="Cambria" w:eastAsia="方正小标宋_GBK"/>
          <w:sz w:val="32"/>
          <w:szCs w:val="32"/>
        </w:rPr>
        <w:br w:type="page"/>
      </w:r>
    </w:p>
    <w:p>
      <w:pPr>
        <w:snapToGrid w:val="0"/>
        <w:spacing w:after="120" w:afterLines="50" w:line="56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物流成本核算课程标准</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楷体_GB2312" w:hAnsi="仿宋_GB2312" w:eastAsia="楷体_GB2312" w:cs="楷体_GB2312"/>
          <w:sz w:val="32"/>
          <w:szCs w:val="32"/>
          <w:lang w:bidi="ar"/>
        </w:rPr>
      </w:pPr>
      <w:r>
        <w:rPr>
          <w:rFonts w:hint="eastAsia" w:ascii="仿宋_GB2312" w:hAnsi="仿宋_GB2312" w:eastAsia="仿宋_GB2312" w:cs="仿宋_GB2312"/>
          <w:kern w:val="0"/>
          <w:sz w:val="32"/>
          <w:szCs w:val="32"/>
          <w:lang w:bidi="ar"/>
        </w:rPr>
        <w:t>本课程是中等职业教育物流服务与管理专业拓展课程，系统地讲述了物流成本核算、物流成本预测、物流成本决策、物流成本预算、物流成本控制、物流成本业绩评价等知识内容。通过对本课程的学习，使学生能够具备物流行业高素质、技术类人才所需要的物流知识和技能，增强学生更新物流企业相关生产技术的能力;使学生在掌握物流专业知识的基础上，熟练运用物流技术，从事物流操作工作；使学生初步具备分析核算物流成本的工作能力，具备诚实、守信及沟通和合作的品质，为进一步学习相关专业知识和技能，提升职业能力奠定基础。</w:t>
      </w:r>
      <w:r>
        <w:rPr>
          <w:rFonts w:hint="eastAsia" w:ascii="仿宋_GB2312" w:hAnsi="仿宋_GB2312" w:eastAsia="仿宋_GB2312" w:cs="仿宋_GB2312"/>
          <w:kern w:val="0"/>
          <w:sz w:val="32"/>
          <w:szCs w:val="32"/>
          <w:lang w:bidi="ar"/>
        </w:rPr>
        <w:br w:type="textWrapping"/>
      </w:r>
      <w:r>
        <w:rPr>
          <w:rFonts w:hint="eastAsia" w:ascii="楷体" w:hAnsi="楷体" w:eastAsia="楷体" w:cs="楷体"/>
          <w:kern w:val="0"/>
          <w:sz w:val="32"/>
          <w:szCs w:val="32"/>
          <w:lang w:bidi="ar"/>
        </w:rPr>
        <w:t xml:space="preserve">  </w:t>
      </w:r>
      <w:r>
        <w:rPr>
          <w:rFonts w:hint="eastAsia" w:ascii="楷体" w:hAnsi="楷体" w:eastAsia="楷体" w:cs="楷体"/>
          <w:kern w:val="0"/>
          <w:sz w:val="32"/>
          <w:szCs w:val="32"/>
          <w:lang w:val="en-US" w:eastAsia="zh-CN" w:bidi="ar"/>
        </w:rPr>
        <w:t xml:space="preserve">  </w:t>
      </w: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N/>
        <w:bidi w:val="0"/>
        <w:snapToGrid w:val="0"/>
        <w:spacing w:line="60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（1）具备家国情怀、行业情感以及对优秀物流文化的传承创新的意识；</w:t>
      </w:r>
    </w:p>
    <w:p>
      <w:pPr>
        <w:keepNext w:val="0"/>
        <w:keepLines w:val="0"/>
        <w:pageBreakBefore w:val="0"/>
        <w:kinsoku/>
        <w:wordWrap/>
        <w:overflowPunct/>
        <w:topLinePunct w:val="0"/>
        <w:autoSpaceDN/>
        <w:bidi w:val="0"/>
        <w:snapToGrid w:val="0"/>
        <w:spacing w:line="60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（2）具有良好的社会公德和职业道德，有较强的社会主义民主和法制观念；</w:t>
      </w:r>
    </w:p>
    <w:p>
      <w:pPr>
        <w:keepNext w:val="0"/>
        <w:keepLines w:val="0"/>
        <w:pageBreakBefore w:val="0"/>
        <w:kinsoku/>
        <w:wordWrap/>
        <w:overflowPunct/>
        <w:topLinePunct w:val="0"/>
        <w:autoSpaceDN/>
        <w:bidi w:val="0"/>
        <w:snapToGrid w:val="0"/>
        <w:spacing w:line="60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（3）具备劳动精神、劳模精神、工匠精神；</w:t>
      </w:r>
    </w:p>
    <w:p>
      <w:pPr>
        <w:keepNext w:val="0"/>
        <w:keepLines w:val="0"/>
        <w:pageBreakBefore w:val="0"/>
        <w:kinsoku/>
        <w:wordWrap/>
        <w:overflowPunct/>
        <w:topLinePunct w:val="0"/>
        <w:autoSpaceDE w:val="0"/>
        <w:autoSpaceDN/>
        <w:bidi w:val="0"/>
        <w:adjustRightInd w:val="0"/>
        <w:snapToGrid w:val="0"/>
        <w:spacing w:line="60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（4）具有较强的责任感、自信心，提升人际交流能力、团队合作精神，增强社会适应能力，积极践行5S理念。</w:t>
      </w:r>
    </w:p>
    <w:p>
      <w:pPr>
        <w:keepNext w:val="0"/>
        <w:keepLines w:val="0"/>
        <w:pageBreakBefore w:val="0"/>
        <w:kinsoku/>
        <w:wordWrap/>
        <w:overflowPunct/>
        <w:topLinePunct w:val="0"/>
        <w:autoSpaceDE w:val="0"/>
        <w:autoSpaceDN/>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N/>
        <w:bidi w:val="0"/>
        <w:snapToGrid w:val="0"/>
        <w:spacing w:line="60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（1）了解各环节物流成本的构成、物流成本绩效评价的含义、物流成本预算的基本原理、物流成本决策的重要性；</w:t>
      </w:r>
    </w:p>
    <w:p>
      <w:pPr>
        <w:keepNext w:val="0"/>
        <w:keepLines w:val="0"/>
        <w:pageBreakBefore w:val="0"/>
        <w:kinsoku/>
        <w:wordWrap/>
        <w:overflowPunct/>
        <w:topLinePunct w:val="0"/>
        <w:autoSpaceDN/>
        <w:bidi w:val="0"/>
        <w:snapToGrid w:val="0"/>
        <w:spacing w:line="60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（2）把握各环节物流成本核算的一般方法、作业成本核算的各种方法、物流成本预算的方法、物流成本预测的方法、物流成本的控制；</w:t>
      </w:r>
    </w:p>
    <w:p>
      <w:pPr>
        <w:keepNext w:val="0"/>
        <w:keepLines w:val="0"/>
        <w:pageBreakBefore w:val="0"/>
        <w:kinsoku/>
        <w:wordWrap/>
        <w:overflowPunct/>
        <w:topLinePunct w:val="0"/>
        <w:autoSpaceDN/>
        <w:bidi w:val="0"/>
        <w:snapToGrid w:val="0"/>
        <w:spacing w:line="60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（3）理解物流成本决策的一般方法及应用、</w:t>
      </w:r>
      <w:r>
        <w:rPr>
          <w:rFonts w:ascii="Calibri" w:hAnsi="Calibri" w:eastAsia="仿宋_GB2312" w:cs="Calibri"/>
          <w:kern w:val="0"/>
          <w:sz w:val="32"/>
          <w:szCs w:val="32"/>
          <w:lang w:bidi="ar"/>
        </w:rPr>
        <w:t> </w:t>
      </w:r>
      <w:r>
        <w:rPr>
          <w:rFonts w:hint="eastAsia" w:ascii="仿宋_GB2312" w:hAnsi="仿宋_GB2312" w:eastAsia="仿宋_GB2312" w:cs="仿宋_GB2312"/>
          <w:kern w:val="0"/>
          <w:sz w:val="32"/>
          <w:szCs w:val="32"/>
          <w:lang w:bidi="ar"/>
        </w:rPr>
        <w:t>物流成本预测的基本原理。</w:t>
      </w:r>
    </w:p>
    <w:p>
      <w:pPr>
        <w:keepNext w:val="0"/>
        <w:keepLines w:val="0"/>
        <w:pageBreakBefore w:val="0"/>
        <w:kinsoku/>
        <w:wordWrap/>
        <w:overflowPunct/>
        <w:topLinePunct w:val="0"/>
        <w:autoSpaceDE w:val="0"/>
        <w:autoSpaceDN/>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N/>
        <w:bidi w:val="0"/>
        <w:snapToGrid w:val="0"/>
        <w:spacing w:line="60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w:t>
      </w:r>
      <w:r>
        <w:rPr>
          <w:rFonts w:hint="eastAsia" w:ascii="仿宋_GB2312" w:hAnsi="仿宋_GB2312" w:eastAsia="仿宋_GB2312" w:cs="仿宋_GB2312"/>
          <w:sz w:val="32"/>
          <w:szCs w:val="32"/>
        </w:rPr>
        <w:t>能对物流各环节进行物流成本核算并提出具有建设性的规划；</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sz w:val="32"/>
          <w:szCs w:val="32"/>
        </w:rPr>
        <w:t>能运用物流成本预测和决策的方法解决企业实践的问题；</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sz w:val="32"/>
          <w:szCs w:val="32"/>
        </w:rPr>
        <w:t>能进行物流成本的预算；</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lang w:bidi="ar"/>
        </w:rPr>
        <w:t>（4）</w:t>
      </w:r>
      <w:r>
        <w:rPr>
          <w:rFonts w:hint="eastAsia" w:ascii="仿宋_GB2312" w:hAnsi="仿宋_GB2312" w:eastAsia="仿宋_GB2312" w:cs="仿宋_GB2312"/>
          <w:sz w:val="32"/>
          <w:szCs w:val="32"/>
        </w:rPr>
        <w:t>能进行物流成本的控制；</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lang w:bidi="ar"/>
        </w:rPr>
        <w:t>（5）</w:t>
      </w:r>
      <w:r>
        <w:rPr>
          <w:rFonts w:hint="eastAsia" w:ascii="仿宋_GB2312" w:hAnsi="仿宋_GB2312" w:eastAsia="仿宋_GB2312" w:cs="仿宋_GB2312"/>
          <w:sz w:val="32"/>
          <w:szCs w:val="32"/>
        </w:rPr>
        <w:t>能运用平衡计分法对物流业绩进行评价。</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60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60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numPr>
          <w:ilvl w:val="0"/>
          <w:numId w:val="0"/>
        </w:numPr>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bidi="ar"/>
        </w:rPr>
        <w:t>课程内容和要求</w:t>
      </w:r>
    </w:p>
    <w:p>
      <w:pPr>
        <w:widowControl/>
        <w:numPr>
          <w:ilvl w:val="0"/>
          <w:numId w:val="0"/>
        </w:numPr>
        <w:autoSpaceDE w:val="0"/>
        <w:adjustRightInd w:val="0"/>
        <w:snapToGrid w:val="0"/>
        <w:spacing w:line="560" w:lineRule="exact"/>
        <w:jc w:val="left"/>
        <w:textAlignment w:val="baseline"/>
        <w:rPr>
          <w:rFonts w:hint="eastAsia" w:ascii="楷体" w:hAnsi="楷体" w:eastAsia="楷体" w:cs="楷体"/>
          <w:sz w:val="32"/>
          <w:szCs w:val="32"/>
          <w:lang w:bidi="ar"/>
        </w:rPr>
      </w:pPr>
    </w:p>
    <w:tbl>
      <w:tblPr>
        <w:tblStyle w:val="15"/>
        <w:tblW w:w="947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511"/>
        <w:gridCol w:w="3990"/>
        <w:gridCol w:w="2430"/>
        <w:gridCol w:w="8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732"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511"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990"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430"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810" w:type="dxa"/>
            <w:vAlign w:val="center"/>
          </w:tcPr>
          <w:p>
            <w:pPr>
              <w:widowControl/>
              <w:kinsoku w:val="0"/>
              <w:autoSpaceDE w:val="0"/>
              <w:autoSpaceDN w:val="0"/>
              <w:adjustRightInd w:val="0"/>
              <w:snapToGrid w:val="0"/>
              <w:spacing w:line="420" w:lineRule="exact"/>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参考</w:t>
            </w:r>
          </w:p>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2" w:type="dxa"/>
            <w:vAlign w:val="center"/>
          </w:tcPr>
          <w:p>
            <w:pPr>
              <w:adjustRightInd w:val="0"/>
              <w:snapToGrid w:val="0"/>
              <w:spacing w:line="380" w:lineRule="exact"/>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1</w:t>
            </w:r>
          </w:p>
        </w:tc>
        <w:tc>
          <w:tcPr>
            <w:tcW w:w="1511" w:type="dxa"/>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物流成本核算</w:t>
            </w:r>
          </w:p>
        </w:tc>
        <w:tc>
          <w:tcPr>
            <w:tcW w:w="3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1.各环节物流成本的构成和各环节物流成本核算的一般方法；</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2.作业成本核算法和能运用所学知识进行各环节物流成本实际核算。</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掌握作业成本核算法；</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能运用所学知识进行各环节物流成本实际核算。</w:t>
            </w:r>
          </w:p>
        </w:tc>
        <w:tc>
          <w:tcPr>
            <w:tcW w:w="2430" w:type="dxa"/>
            <w:vAlign w:val="center"/>
          </w:tcPr>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1.通过案例分析了解物流成本的构成；</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2.通过实训题目掌握成本核算的方法。</w:t>
            </w:r>
          </w:p>
        </w:tc>
        <w:tc>
          <w:tcPr>
            <w:tcW w:w="810" w:type="dxa"/>
            <w:vAlign w:val="center"/>
          </w:tcPr>
          <w:p>
            <w:pPr>
              <w:adjustRightInd w:val="0"/>
              <w:snapToGrid w:val="0"/>
              <w:spacing w:line="380" w:lineRule="exact"/>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5" w:hRule="atLeast"/>
        </w:trPr>
        <w:tc>
          <w:tcPr>
            <w:tcW w:w="732" w:type="dxa"/>
            <w:vAlign w:val="center"/>
          </w:tcPr>
          <w:p>
            <w:pPr>
              <w:adjustRightInd w:val="0"/>
              <w:snapToGrid w:val="0"/>
              <w:spacing w:line="380" w:lineRule="exact"/>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2</w:t>
            </w:r>
          </w:p>
        </w:tc>
        <w:tc>
          <w:tcPr>
            <w:tcW w:w="1511" w:type="dxa"/>
            <w:vAlign w:val="center"/>
          </w:tcPr>
          <w:p>
            <w:pPr>
              <w:spacing w:line="38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spacing w:line="380" w:lineRule="exact"/>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物流成本预测</w:t>
            </w:r>
          </w:p>
        </w:tc>
        <w:tc>
          <w:tcPr>
            <w:tcW w:w="3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物流成本预测的基本原理；</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2.物流成本预测的方法。</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理解物流成本预测的基本原理；</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掌握物流成本预测的方法。</w:t>
            </w:r>
          </w:p>
        </w:tc>
        <w:tc>
          <w:tcPr>
            <w:tcW w:w="2430" w:type="dxa"/>
            <w:vAlign w:val="center"/>
          </w:tcPr>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1.通过案例分析了解物流成本预测的原理；</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2.通过实训题目掌握成本预测的方法。</w:t>
            </w:r>
          </w:p>
        </w:tc>
        <w:tc>
          <w:tcPr>
            <w:tcW w:w="810" w:type="dxa"/>
            <w:vAlign w:val="center"/>
          </w:tcPr>
          <w:p>
            <w:pPr>
              <w:adjustRightInd w:val="0"/>
              <w:snapToGrid w:val="0"/>
              <w:spacing w:line="380" w:lineRule="exact"/>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732" w:type="dxa"/>
            <w:vAlign w:val="center"/>
          </w:tcPr>
          <w:p>
            <w:pPr>
              <w:adjustRightInd w:val="0"/>
              <w:snapToGrid w:val="0"/>
              <w:spacing w:line="380" w:lineRule="exact"/>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3</w:t>
            </w:r>
          </w:p>
        </w:tc>
        <w:tc>
          <w:tcPr>
            <w:tcW w:w="1511" w:type="dxa"/>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物流成本决策</w:t>
            </w:r>
          </w:p>
        </w:tc>
        <w:tc>
          <w:tcPr>
            <w:tcW w:w="3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1.物流成本决策的重要性；</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2.物流成本决策的一般方法及应用。</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kern w:val="0"/>
                <w:szCs w:val="21"/>
                <w:lang w:bidi="ar"/>
              </w:rPr>
              <w:t>理解物流成本决策的一般方法、应用。</w:t>
            </w:r>
          </w:p>
        </w:tc>
        <w:tc>
          <w:tcPr>
            <w:tcW w:w="2430" w:type="dxa"/>
            <w:vAlign w:val="center"/>
          </w:tcPr>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1.案例分析了解物流成本决策的原理；</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2.实训题目掌握成本决策的方法。</w:t>
            </w:r>
          </w:p>
        </w:tc>
        <w:tc>
          <w:tcPr>
            <w:tcW w:w="810" w:type="dxa"/>
            <w:vAlign w:val="center"/>
          </w:tcPr>
          <w:p>
            <w:pPr>
              <w:adjustRightInd w:val="0"/>
              <w:snapToGrid w:val="0"/>
              <w:spacing w:line="380" w:lineRule="exact"/>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32" w:type="dxa"/>
            <w:vAlign w:val="center"/>
          </w:tcPr>
          <w:p>
            <w:pPr>
              <w:adjustRightInd w:val="0"/>
              <w:snapToGrid w:val="0"/>
              <w:spacing w:line="380" w:lineRule="exact"/>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4</w:t>
            </w:r>
          </w:p>
        </w:tc>
        <w:tc>
          <w:tcPr>
            <w:tcW w:w="1511" w:type="dxa"/>
            <w:vAlign w:val="center"/>
          </w:tcPr>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项目四</w:t>
            </w:r>
          </w:p>
          <w:p>
            <w:pPr>
              <w:widowControl/>
              <w:tabs>
                <w:tab w:val="left" w:pos="312"/>
              </w:tabs>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物流成本预测</w:t>
            </w:r>
          </w:p>
        </w:tc>
        <w:tc>
          <w:tcPr>
            <w:tcW w:w="3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物流成本预算编制的方法；</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2.预算编制。</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掌握物流成本预算编制的方法。</w:t>
            </w:r>
          </w:p>
        </w:tc>
        <w:tc>
          <w:tcPr>
            <w:tcW w:w="2430" w:type="dxa"/>
            <w:vAlign w:val="center"/>
          </w:tcPr>
          <w:p>
            <w:pPr>
              <w:widowControl/>
              <w:tabs>
                <w:tab w:val="left" w:pos="312"/>
              </w:tabs>
              <w:kinsoku w:val="0"/>
              <w:autoSpaceDE w:val="0"/>
              <w:autoSpaceDN w:val="0"/>
              <w:adjustRightInd w:val="0"/>
              <w:snapToGrid w:val="0"/>
              <w:spacing w:line="34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1.通过案例分析了解物流成本预算的原理；</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2.通过实训题目掌握成本预算的方法。</w:t>
            </w:r>
          </w:p>
        </w:tc>
        <w:tc>
          <w:tcPr>
            <w:tcW w:w="810" w:type="dxa"/>
            <w:vAlign w:val="center"/>
          </w:tcPr>
          <w:p>
            <w:pPr>
              <w:adjustRightInd w:val="0"/>
              <w:snapToGrid w:val="0"/>
              <w:spacing w:line="380" w:lineRule="exact"/>
              <w:jc w:val="center"/>
              <w:rPr>
                <w:rFonts w:ascii="仿宋_GB2312" w:hAnsi="方正仿宋_GB2312" w:eastAsia="仿宋_GB2312" w:cs="方正仿宋_GB2312"/>
                <w:kern w:val="0"/>
                <w:szCs w:val="21"/>
              </w:rPr>
            </w:pPr>
            <w:r>
              <w:rPr>
                <w:rFonts w:hint="eastAsia" w:ascii="仿宋_GB2312" w:hAnsi="仿宋_GB2312" w:eastAsia="仿宋_GB2312" w:cs="仿宋_GB2312"/>
                <w:kern w:val="0"/>
                <w:szCs w:val="21"/>
                <w:lang w:bidi="ar"/>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732" w:type="dxa"/>
            <w:vAlign w:val="center"/>
          </w:tcPr>
          <w:p>
            <w:pPr>
              <w:adjustRightInd w:val="0"/>
              <w:snapToGrid w:val="0"/>
              <w:spacing w:line="380" w:lineRule="exac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1511" w:type="dxa"/>
            <w:vAlign w:val="center"/>
          </w:tcPr>
          <w:p>
            <w:pPr>
              <w:spacing w:line="38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项目五</w:t>
            </w:r>
          </w:p>
          <w:p>
            <w:pPr>
              <w:spacing w:line="380" w:lineRule="exact"/>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物流成本控制</w:t>
            </w:r>
          </w:p>
        </w:tc>
        <w:tc>
          <w:tcPr>
            <w:tcW w:w="3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物流成本控制的各种方法；</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2.成本控制操作。</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掌握物流成本控制的各种方法。</w:t>
            </w:r>
          </w:p>
        </w:tc>
        <w:tc>
          <w:tcPr>
            <w:tcW w:w="2430" w:type="dxa"/>
            <w:vAlign w:val="center"/>
          </w:tcPr>
          <w:p>
            <w:pPr>
              <w:widowControl/>
              <w:tabs>
                <w:tab w:val="left" w:pos="312"/>
              </w:tabs>
              <w:kinsoku w:val="0"/>
              <w:autoSpaceDE w:val="0"/>
              <w:autoSpaceDN w:val="0"/>
              <w:adjustRightInd w:val="0"/>
              <w:snapToGrid w:val="0"/>
              <w:spacing w:line="34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1.通过案例分析了解物流成本控制的方法；</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2.通过实训题目掌握成本控制的操作。</w:t>
            </w:r>
          </w:p>
        </w:tc>
        <w:tc>
          <w:tcPr>
            <w:tcW w:w="810" w:type="dxa"/>
            <w:vAlign w:val="center"/>
          </w:tcPr>
          <w:p>
            <w:pPr>
              <w:adjustRightInd w:val="0"/>
              <w:snapToGrid w:val="0"/>
              <w:spacing w:line="380" w:lineRule="exac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2" w:type="dxa"/>
            <w:vAlign w:val="center"/>
          </w:tcPr>
          <w:p>
            <w:pPr>
              <w:adjustRightInd w:val="0"/>
              <w:snapToGrid w:val="0"/>
              <w:spacing w:line="380" w:lineRule="exac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1511" w:type="dxa"/>
            <w:vAlign w:val="center"/>
          </w:tcPr>
          <w:p>
            <w:pPr>
              <w:spacing w:line="38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项目六</w:t>
            </w:r>
          </w:p>
          <w:p>
            <w:pPr>
              <w:spacing w:line="380" w:lineRule="exact"/>
              <w:jc w:val="center"/>
              <w:rPr>
                <w:rFonts w:ascii="仿宋_GB2312" w:hAnsi="Calibri" w:eastAsia="仿宋_GB2312"/>
                <w:color w:val="000000"/>
                <w:szCs w:val="21"/>
              </w:rPr>
            </w:pPr>
            <w:r>
              <w:rPr>
                <w:rFonts w:hint="eastAsia" w:ascii="仿宋_GB2312" w:hAnsi="仿宋_GB2312" w:eastAsia="仿宋_GB2312" w:cs="仿宋_GB2312"/>
                <w:kern w:val="0"/>
                <w:szCs w:val="21"/>
                <w:lang w:bidi="ar"/>
              </w:rPr>
              <w:t>物流成本业绩评价</w:t>
            </w:r>
          </w:p>
        </w:tc>
        <w:tc>
          <w:tcPr>
            <w:tcW w:w="3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物流成本绩效评价的含义；</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2.分析和作用平衡计分法评价预留业绩。</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kern w:val="0"/>
                <w:szCs w:val="21"/>
                <w:lang w:bidi="ar"/>
              </w:rPr>
              <w:t>会分析和作用平衡计分法评价预留业绩。</w:t>
            </w:r>
          </w:p>
        </w:tc>
        <w:tc>
          <w:tcPr>
            <w:tcW w:w="2430" w:type="dxa"/>
            <w:vAlign w:val="center"/>
          </w:tcPr>
          <w:p>
            <w:pPr>
              <w:widowControl/>
              <w:tabs>
                <w:tab w:val="left" w:pos="312"/>
              </w:tabs>
              <w:kinsoku w:val="0"/>
              <w:autoSpaceDE w:val="0"/>
              <w:autoSpaceDN w:val="0"/>
              <w:adjustRightInd w:val="0"/>
              <w:snapToGrid w:val="0"/>
              <w:spacing w:line="380" w:lineRule="exact"/>
              <w:textAlignment w:val="baseline"/>
              <w:rPr>
                <w:rFonts w:ascii="仿宋_GB2312" w:hAnsi="Calibri" w:eastAsia="仿宋_GB2312"/>
                <w:color w:val="000000"/>
                <w:szCs w:val="21"/>
              </w:rPr>
            </w:pPr>
            <w:r>
              <w:rPr>
                <w:rFonts w:hint="eastAsia" w:ascii="仿宋_GB2312" w:hAnsi="仿宋_GB2312" w:eastAsia="仿宋_GB2312" w:cs="仿宋_GB2312"/>
                <w:kern w:val="0"/>
                <w:szCs w:val="21"/>
                <w:lang w:bidi="ar"/>
              </w:rPr>
              <w:t>1.通过案例分析了解物流成本业绩评价的理论；</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2.通过实训题目掌握平衡计分法的操作。</w:t>
            </w:r>
          </w:p>
        </w:tc>
        <w:tc>
          <w:tcPr>
            <w:tcW w:w="810" w:type="dxa"/>
            <w:vAlign w:val="center"/>
          </w:tcPr>
          <w:p>
            <w:pPr>
              <w:adjustRightInd w:val="0"/>
              <w:snapToGrid w:val="0"/>
              <w:spacing w:line="380" w:lineRule="exact"/>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（1）应立足于加强学生物流成本管理能力的培养，采用项目教学法，以任务引领型项目诱发学生兴趣，使学生在案例分析实训活动中了解物流成本的分析及核算方法。</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（2）应以学生为本，注重“教”与“学”的互动。通过选取典型活动项目，由教师提出要求或作出示范，组织学生进行活动，让学生在活动中增强降低物流成本的意识，培养本课程的职业能力。</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（3）应注重职业情景的创设，以多媒体、案例分析等方法提高学生解决和处理实际问题的综合职业能力。</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教师必须重视实践，更新观念，践行工学结合人才培养模式，打破传统模式的课程内容，力求以实际的岗位需求为课程培养方向，为学生想供自主发展的时间和空间，积极引导学生提升职业素养，努力提高学生的创新能能力。</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（1）突出形成性评价。结合课堂提问、业务操作、课后作业、模块考核等手段，加强实践性教学环节的考核，并注重平日成绩的记录。</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（2）加强目标评价。主要包括评价学生对各环节物流成本核算方法的掌握程度、物流成本预测方法的掌握、物流成本决策方法的掌握、物流成本预算方法的掌握、各环节物流成本控制方法的掌握。</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（3）加强课程结束后总结性评价。结合案例分析、成果展示等手段，注重考核学生所拥有的综合职业能力及水平。</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（4）建议在教学中分任务模块评分，在课程结束时进行综合模块考核。</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本课程按等级制考核，分为优、良、中、及格、不及格五个等级。说明:形成性评价，是在教学过程中对学生的学习态度和各类作业情况进行的评价；总结性评价，是在教学模块结束时，对学生综合技能情况的评价。若模块考评中同时采用形成性评价和总结性评价，建议采用5:</w:t>
      </w:r>
      <w:r>
        <w:rPr>
          <w:rFonts w:ascii="Calibri" w:hAnsi="Calibri" w:eastAsia="仿宋_GB2312" w:cs="Calibri"/>
          <w:sz w:val="32"/>
          <w:szCs w:val="32"/>
        </w:rPr>
        <w:t> </w:t>
      </w:r>
      <w:r>
        <w:rPr>
          <w:rFonts w:hint="eastAsia" w:ascii="仿宋_GB2312" w:hAnsi="仿宋_GB2312" w:eastAsia="仿宋_GB2312" w:cs="仿宋_GB2312"/>
          <w:sz w:val="32"/>
          <w:szCs w:val="32"/>
        </w:rPr>
        <w:t>5的比例评分。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（1）本课程在教学过程中，应立足于学生工学结合一体化教学方式，提高学生的学习兴趣。</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（2）本课程教学须充分利用学校和企业的两种资源，学校专职教师与企业兼职教师教学相结合，现代多媒体教学与企业现场实践教学相结合，强化学生实践能力和管理能力的提高。</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（3）在教学过程中，要尽可能采用多媒体教学、机房、实物教学、现场教学模式。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（4）尽量采用小班化教学，利用教室和物流实验室中的实物、挂图进行教学。</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（5）企业兼职教师应具有一定的普通话基础，并掌握一定的教学、</w:t>
      </w:r>
      <w:r>
        <w:rPr>
          <w:rFonts w:ascii="Calibri" w:hAnsi="Calibri" w:eastAsia="仿宋_GB2312" w:cs="Calibri"/>
          <w:sz w:val="32"/>
          <w:szCs w:val="32"/>
        </w:rPr>
        <w:t> </w:t>
      </w:r>
      <w:r>
        <w:rPr>
          <w:rFonts w:hint="eastAsia" w:ascii="仿宋_GB2312" w:hAnsi="仿宋_GB2312" w:eastAsia="仿宋_GB2312" w:cs="仿宋_GB2312"/>
          <w:sz w:val="32"/>
          <w:szCs w:val="32"/>
        </w:rPr>
        <w:t>教育相关知识，在进行示范性教学时，能充分表达所教学的内容。</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4.教材编写与选用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（1）教材编写要以本课程标准为依据。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（2）教材应充分体现任务引领、实践导向的课程设计思想。</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从创设教学情境开始，通过图表、实际案例、课后习题、实训题、研活动等多种手段，在明确教学目的的基础上，引出各个知识点和技能要求。教材应突出学生操作技能的培养，避免把职业能力简单理解为纯粹的技能操作，同时要具有前略性，内将木专业领域的发展趋势及实际业务操作中的新知识、新技术和新方法及时纳人其中。</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（4）教村应以学生为本，文字表述要简明扼要</w:t>
      </w:r>
      <w:r>
        <w:rPr>
          <w:rFonts w:ascii="Calibri" w:hAnsi="Calibri" w:eastAsia="仿宋_GB2312" w:cs="Calibri"/>
          <w:sz w:val="32"/>
          <w:szCs w:val="32"/>
        </w:rPr>
        <w:t> </w:t>
      </w:r>
      <w:r>
        <w:rPr>
          <w:rFonts w:hint="eastAsia" w:ascii="仿宋_GB2312" w:hAnsi="仿宋_GB2312" w:eastAsia="仿宋_GB2312" w:cs="仿宋_GB2312"/>
          <w:sz w:val="32"/>
          <w:szCs w:val="32"/>
        </w:rPr>
        <w:t>，内容展现应图文并茂、突出重点，注重提高学生的主动性和积极性。</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（5）教材中的活动设计要具有可操作性。</w:t>
      </w:r>
    </w:p>
    <w:p>
      <w:pPr>
        <w:autoSpaceDE w:val="0"/>
        <w:adjustRightInd w:val="0"/>
        <w:snapToGrid w:val="0"/>
        <w:spacing w:line="560" w:lineRule="exact"/>
        <w:ind w:firstLine="640" w:firstLineChars="200"/>
        <w:textAlignment w:val="baseline"/>
        <w:rPr>
          <w:rFonts w:ascii="仿宋_GB2312" w:hAnsi="仿宋_GB2312" w:eastAsia="仿宋_GB2312" w:cs="仿宋_GB2312"/>
          <w:b w:val="0"/>
          <w:bCs w:val="0"/>
          <w:sz w:val="21"/>
          <w:szCs w:val="21"/>
          <w:lang w:bidi="ar"/>
        </w:rPr>
      </w:pPr>
      <w:r>
        <w:rPr>
          <w:rFonts w:hint="eastAsia" w:ascii="仿宋_GB2312" w:hAnsi="仿宋_GB2312" w:eastAsia="仿宋_GB2312" w:cs="仿宋_GB2312"/>
          <w:sz w:val="32"/>
          <w:szCs w:val="32"/>
          <w:lang w:bidi="ar"/>
        </w:rPr>
        <w:t>5.授课进程建议表</w:t>
      </w:r>
    </w:p>
    <w:tbl>
      <w:tblPr>
        <w:tblStyle w:val="37"/>
        <w:tblW w:w="8364"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801"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周次</w:t>
            </w:r>
          </w:p>
        </w:tc>
        <w:tc>
          <w:tcPr>
            <w:tcW w:w="3969"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教学任务</w:t>
            </w:r>
          </w:p>
        </w:tc>
        <w:tc>
          <w:tcPr>
            <w:tcW w:w="1276"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授课时数</w:t>
            </w:r>
          </w:p>
        </w:tc>
        <w:tc>
          <w:tcPr>
            <w:tcW w:w="2318"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b w:val="0"/>
                <w:bCs w:val="0"/>
                <w:kern w:val="0"/>
                <w:sz w:val="21"/>
                <w:szCs w:val="21"/>
                <w:lang w:bidi="ar"/>
              </w:rPr>
            </w:pPr>
            <w:r>
              <w:rPr>
                <w:rFonts w:hint="eastAsia" w:ascii="黑体" w:hAnsi="黑体" w:eastAsia="黑体" w:cs="黑体"/>
                <w:b w:val="0"/>
                <w:bCs w:val="0"/>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各环节物流成本的构成</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各环节物流成本核算的一般方法</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作业成本核算法；</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center"/>
          </w:tcPr>
          <w:p>
            <w:pPr>
              <w:widowControl/>
              <w:tabs>
                <w:tab w:val="left" w:pos="312"/>
              </w:tabs>
              <w:kinsoku w:val="0"/>
              <w:autoSpaceDE w:val="0"/>
              <w:autoSpaceDN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能运用所学知识进行各环节物流成本</w:t>
            </w:r>
          </w:p>
          <w:p>
            <w:pPr>
              <w:widowControl/>
              <w:tabs>
                <w:tab w:val="left" w:pos="312"/>
              </w:tabs>
              <w:kinsoku w:val="0"/>
              <w:autoSpaceDE w:val="0"/>
              <w:autoSpaceDN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实际核算</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物流成本预测的基本原理</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案例教学，分组演示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物流成本预测的方法</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物流成本决策的重要性</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物流成本决策一般方法及应用</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案例教学，分组演示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物流成本预算编制的方法</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案例教学，分组演示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能进行简单的预算编制</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物流成本控制的各种方法</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进行简单的成本控制操作</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物流成本绩效评价的含义</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案例教学，教师讲授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会分析和作用平衡计分法评价预留业绩</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801" w:type="dxa"/>
            <w:vAlign w:val="center"/>
          </w:tcPr>
          <w:p>
            <w:pPr>
              <w:autoSpaceDE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center"/>
          </w:tcPr>
          <w:p>
            <w:pPr>
              <w:widowControl/>
              <w:tabs>
                <w:tab w:val="left" w:pos="312"/>
              </w:tabs>
              <w:kinsoku w:val="0"/>
              <w:autoSpaceDE w:val="0"/>
              <w:autoSpaceDN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案例分析物流成本预算编制的方法和物流成本控制的各种方法</w:t>
            </w:r>
          </w:p>
        </w:tc>
        <w:tc>
          <w:tcPr>
            <w:tcW w:w="1276" w:type="dxa"/>
            <w:vAlign w:val="center"/>
          </w:tcPr>
          <w:p>
            <w:pPr>
              <w:autoSpaceDE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分组练习，教师讲授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801" w:type="dxa"/>
            <w:vAlign w:val="center"/>
          </w:tcPr>
          <w:p>
            <w:pPr>
              <w:autoSpaceDE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center"/>
          </w:tcPr>
          <w:p>
            <w:pPr>
              <w:widowControl/>
              <w:tabs>
                <w:tab w:val="left" w:pos="312"/>
              </w:tabs>
              <w:kinsoku w:val="0"/>
              <w:autoSpaceDE w:val="0"/>
              <w:autoSpaceDN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案例分析作业成本核算法和物流成本</w:t>
            </w:r>
          </w:p>
          <w:p>
            <w:pPr>
              <w:widowControl/>
              <w:tabs>
                <w:tab w:val="left" w:pos="312"/>
              </w:tabs>
              <w:kinsoku w:val="0"/>
              <w:autoSpaceDE w:val="0"/>
              <w:autoSpaceDN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预测的方法</w:t>
            </w:r>
          </w:p>
        </w:tc>
        <w:tc>
          <w:tcPr>
            <w:tcW w:w="1276" w:type="dxa"/>
            <w:vAlign w:val="center"/>
          </w:tcPr>
          <w:p>
            <w:pPr>
              <w:autoSpaceDE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3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教师讲授，分组练习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案例分析进行各环节物流成本实际核算</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分组练习，教师讲授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1"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center"/>
          </w:tcPr>
          <w:p>
            <w:pPr>
              <w:widowControl/>
              <w:tabs>
                <w:tab w:val="left" w:pos="312"/>
              </w:tabs>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案例分析物流成本核算的各种方法</w:t>
            </w:r>
          </w:p>
        </w:tc>
        <w:tc>
          <w:tcPr>
            <w:tcW w:w="1276"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教师讲授，分组练习</w:t>
            </w:r>
          </w:p>
        </w:tc>
      </w:tr>
    </w:tbl>
    <w:p>
      <w:pPr>
        <w:widowControl/>
        <w:jc w:val="left"/>
        <w:rPr>
          <w:rFonts w:ascii="仿宋_GB2312" w:hAnsi="Cambria" w:eastAsia="仿宋_GB2312"/>
          <w:szCs w:val="21"/>
        </w:rPr>
      </w:pPr>
    </w:p>
    <w:p>
      <w:pPr>
        <w:widowControl/>
        <w:jc w:val="left"/>
        <w:rPr>
          <w:rFonts w:ascii="Cambria" w:hAnsi="Cambria" w:eastAsia="方正小标宋_GBK"/>
          <w:sz w:val="32"/>
          <w:szCs w:val="32"/>
        </w:rPr>
      </w:pPr>
      <w:r>
        <w:rPr>
          <w:rFonts w:ascii="Cambria" w:hAnsi="Cambria" w:eastAsia="方正小标宋_GBK"/>
          <w:sz w:val="32"/>
          <w:szCs w:val="32"/>
        </w:rPr>
        <w:br w:type="page"/>
      </w:r>
    </w:p>
    <w:p>
      <w:pPr>
        <w:snapToGrid w:val="0"/>
        <w:spacing w:after="120" w:afterLines="50" w:line="56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物流单证实务课程标准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widowControl/>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 w:hAnsi="仿宋" w:eastAsia="仿宋" w:cs="仿宋"/>
          <w:sz w:val="32"/>
          <w:szCs w:val="32"/>
          <w:lang w:bidi="ar"/>
        </w:rPr>
        <w:t>本课程是物流服务与管理</w:t>
      </w:r>
      <w:r>
        <w:rPr>
          <w:rFonts w:hint="eastAsia" w:ascii="仿宋" w:hAnsi="仿宋" w:eastAsia="仿宋" w:cs="仿宋"/>
          <w:kern w:val="0"/>
          <w:sz w:val="32"/>
          <w:szCs w:val="32"/>
          <w:lang w:bidi="ar"/>
        </w:rPr>
        <w:t>专业的一门专业拓展</w:t>
      </w:r>
      <w:r>
        <w:rPr>
          <w:rFonts w:hint="eastAsia" w:ascii="仿宋" w:hAnsi="仿宋" w:eastAsia="仿宋" w:cs="仿宋"/>
          <w:sz w:val="32"/>
          <w:szCs w:val="32"/>
          <w:lang w:bidi="ar"/>
        </w:rPr>
        <w:t>课程。通过学习仓储单证</w:t>
      </w:r>
      <w:r>
        <w:rPr>
          <w:rFonts w:hint="eastAsia" w:ascii="仿宋_GB2312" w:hAnsi="仿宋_GB2312" w:eastAsia="仿宋_GB2312" w:cs="仿宋_GB2312"/>
          <w:sz w:val="32"/>
          <w:szCs w:val="32"/>
          <w:lang w:bidi="ar"/>
        </w:rPr>
        <w:t>、运输单证等</w:t>
      </w:r>
      <w:r>
        <w:rPr>
          <w:rFonts w:hint="eastAsia" w:ascii="仿宋" w:hAnsi="仿宋" w:eastAsia="仿宋" w:cs="仿宋"/>
          <w:sz w:val="32"/>
          <w:szCs w:val="32"/>
          <w:lang w:bidi="ar"/>
        </w:rPr>
        <w:t>专业知识</w:t>
      </w:r>
      <w:r>
        <w:rPr>
          <w:rFonts w:hint="eastAsia" w:ascii="仿宋" w:hAnsi="仿宋" w:eastAsia="仿宋" w:cs="仿宋"/>
          <w:kern w:val="0"/>
          <w:sz w:val="32"/>
          <w:szCs w:val="32"/>
          <w:lang w:bidi="ar"/>
        </w:rPr>
        <w:t>，使学生能够</w:t>
      </w:r>
      <w:r>
        <w:rPr>
          <w:rFonts w:hint="eastAsia" w:ascii="仿宋" w:hAnsi="仿宋" w:eastAsia="仿宋" w:cs="仿宋"/>
          <w:sz w:val="32"/>
          <w:szCs w:val="32"/>
          <w:lang w:bidi="ar"/>
        </w:rPr>
        <w:t>掌握入库单</w:t>
      </w:r>
      <w:r>
        <w:rPr>
          <w:rFonts w:hint="eastAsia" w:ascii="仿宋_GB2312" w:hAnsi="仿宋_GB2312" w:eastAsia="仿宋_GB2312" w:cs="仿宋_GB2312"/>
          <w:sz w:val="32"/>
          <w:szCs w:val="32"/>
          <w:lang w:bidi="ar"/>
        </w:rPr>
        <w:t>、盘点单、储位分配单、公路货物运单等单据的填写和应用</w:t>
      </w:r>
      <w:r>
        <w:rPr>
          <w:rFonts w:hint="eastAsia" w:ascii="仿宋" w:hAnsi="仿宋" w:eastAsia="仿宋" w:cs="仿宋"/>
          <w:sz w:val="32"/>
          <w:szCs w:val="32"/>
          <w:lang w:bidi="ar"/>
        </w:rPr>
        <w:t>；具有单据流转、缮制和应用</w:t>
      </w:r>
      <w:r>
        <w:rPr>
          <w:rFonts w:hint="eastAsia" w:ascii="仿宋_GB2312" w:hAnsi="仿宋_GB2312" w:eastAsia="仿宋_GB2312" w:cs="仿宋_GB2312"/>
          <w:sz w:val="32"/>
          <w:szCs w:val="32"/>
          <w:lang w:bidi="ar"/>
        </w:rPr>
        <w:t>能力，能根据实际情况缮制仓储、运输等业务环节的常规单据，培养学生的职业道德和工匠精神，提高学生综合素质和职业能力，为学生后续其他专业课程的学习打下基础。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（1）掌握</w:t>
      </w:r>
      <w:r>
        <w:rPr>
          <w:rFonts w:hint="eastAsia" w:ascii="仿宋_GB2312" w:hAnsi="仿宋_GB2312" w:eastAsia="仿宋_GB2312" w:cs="仿宋_GB2312"/>
          <w:sz w:val="32"/>
          <w:szCs w:val="32"/>
          <w:lang w:bidi="ar"/>
        </w:rPr>
        <w:t>物流仓储单证，主要包括入库单、出库单、移库单、盘点单、储位分配单、拣货单、退货申请单等</w:t>
      </w:r>
      <w:r>
        <w:rPr>
          <w:rFonts w:hint="eastAsia" w:ascii="仿宋_GB2312" w:hAnsi="仿宋_GB2312" w:eastAsia="仿宋_GB2312" w:cs="仿宋_GB2312"/>
          <w:kern w:val="0"/>
          <w:sz w:val="32"/>
          <w:szCs w:val="32"/>
          <w:lang w:bidi="ar"/>
        </w:rPr>
        <w:t>；</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kern w:val="0"/>
          <w:sz w:val="32"/>
          <w:szCs w:val="32"/>
          <w:lang w:bidi="ar"/>
        </w:rPr>
        <w:t>（2）掌握</w:t>
      </w:r>
      <w:r>
        <w:rPr>
          <w:rFonts w:hint="eastAsia" w:ascii="仿宋_GB2312" w:hAnsi="仿宋_GB2312" w:eastAsia="仿宋_GB2312" w:cs="仿宋_GB2312"/>
          <w:sz w:val="32"/>
          <w:szCs w:val="32"/>
          <w:lang w:bidi="ar"/>
        </w:rPr>
        <w:t>物流运输单证，主要包括公路货物运单、运输计划、货品清单、集货单、货物运输交接单、残损记录表、国内货物运输险投保单、保险通知书、航空运单、水路运单、铁路货物运单、铁路货票等；</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sz w:val="32"/>
          <w:szCs w:val="32"/>
          <w:lang w:bidi="ar"/>
        </w:rPr>
        <w:t>了解国际物流单证主要包括提单、场站收据、装货单、托运单、集装箱装箱单、设备交接单、报关委托书、报关单、报检委托书、报检单等</w:t>
      </w:r>
      <w:r>
        <w:rPr>
          <w:rFonts w:hint="eastAsia" w:ascii="仿宋_GB2312" w:hAnsi="仿宋_GB2312" w:eastAsia="仿宋_GB2312" w:cs="仿宋_GB2312"/>
          <w:kern w:val="0"/>
          <w:sz w:val="32"/>
          <w:szCs w:val="32"/>
          <w:lang w:bidi="ar"/>
        </w:rPr>
        <w:t>。</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（1）具有良好的品德修养，健康的身体和心理素质，爱岗敬业，遵纪守法；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（2）具有正确的择业观念和良好的职业道德，吃苦耐劳、诚实守信；</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（3）具有良好的行为习惯和较强的自我管理、自律能力；具有一定的竞争意识，良好的团队合作精神，较强的沟通能力和人际关系协调能力</w:t>
      </w:r>
      <w:r>
        <w:rPr>
          <w:rFonts w:hint="eastAsia" w:ascii="仿宋_GB2312" w:hAnsi="仿宋_GB2312" w:eastAsia="仿宋_GB2312" w:cs="仿宋_GB2312"/>
          <w:kern w:val="0"/>
          <w:sz w:val="32"/>
          <w:szCs w:val="32"/>
          <w:lang w:bidi="ar"/>
        </w:rPr>
        <w:t>；</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（4）具备熟练填制单证的技能；</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（5）具有安全作业观念、环保节约意识及创新精神；</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（6）能够从案例中寻找共性，举一反三，不断养成岗位要求需要的职业素养。</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54学时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tbl>
      <w:tblPr>
        <w:tblStyle w:val="15"/>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34"/>
        <w:gridCol w:w="3729"/>
        <w:gridCol w:w="2649"/>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134"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729"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649"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092"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物流单证基本技能</w:t>
            </w:r>
          </w:p>
        </w:tc>
        <w:tc>
          <w:tcPr>
            <w:tcW w:w="372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40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1.数码字练习；</w:t>
            </w:r>
          </w:p>
          <w:p>
            <w:pPr>
              <w:widowControl/>
              <w:tabs>
                <w:tab w:val="left" w:pos="312"/>
              </w:tabs>
              <w:kinsoku w:val="0"/>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2.日期、时间的练习；</w:t>
            </w:r>
          </w:p>
          <w:p>
            <w:pPr>
              <w:widowControl/>
              <w:tabs>
                <w:tab w:val="left" w:pos="312"/>
              </w:tabs>
              <w:kinsoku w:val="0"/>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3.中国各个省份名称及简称练习；</w:t>
            </w:r>
          </w:p>
          <w:p>
            <w:pPr>
              <w:widowControl/>
              <w:kinsoku w:val="0"/>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4.单证制作要求。</w:t>
            </w:r>
          </w:p>
          <w:p>
            <w:pPr>
              <w:widowControl/>
              <w:kinsoku w:val="0"/>
              <w:autoSpaceDE w:val="0"/>
              <w:autoSpaceDN w:val="0"/>
              <w:adjustRightInd w:val="0"/>
              <w:snapToGrid w:val="0"/>
              <w:spacing w:line="40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1.掌握阿拉伯数字、阿拉伯数字中文大写及数位名称等汉字的正确书写方法；</w:t>
            </w:r>
          </w:p>
          <w:p>
            <w:pPr>
              <w:widowControl/>
              <w:kinsoku w:val="0"/>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2.会独立完整填写单证中的日期和时间；</w:t>
            </w:r>
          </w:p>
          <w:p>
            <w:pPr>
              <w:widowControl/>
              <w:kinsoku w:val="0"/>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3.熟悉中国各个省份、自治区名称及简称。</w:t>
            </w:r>
          </w:p>
        </w:tc>
        <w:tc>
          <w:tcPr>
            <w:tcW w:w="2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1.结合会计学科中对于阿拉伯数字、中文大写数码字的书写要求，教师书写、学生仿写，多加练习；</w:t>
            </w:r>
          </w:p>
          <w:p>
            <w:pPr>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2.教师带领学生熟悉英文中各个月份的表达方法，使学生能区分中英文单证时间和日期表达的不同；</w:t>
            </w:r>
          </w:p>
          <w:p>
            <w:pPr>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3.结合中国地图，使学生对各个省份的地理位置有个方向判断，对始发地和目的地有正确的方向感和距离感。</w:t>
            </w:r>
          </w:p>
        </w:tc>
        <w:tc>
          <w:tcPr>
            <w:tcW w:w="10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仓储单据</w:t>
            </w:r>
          </w:p>
        </w:tc>
        <w:tc>
          <w:tcPr>
            <w:tcW w:w="372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40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1.入库作业中的单证流转——准备入库、验收到货、实施入库；</w:t>
            </w:r>
          </w:p>
          <w:p>
            <w:pPr>
              <w:widowControl/>
              <w:tabs>
                <w:tab w:val="left" w:pos="312"/>
              </w:tabs>
              <w:kinsoku w:val="0"/>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2.在库作业中的单证流转——盘点作业；</w:t>
            </w:r>
          </w:p>
          <w:p>
            <w:pPr>
              <w:widowControl/>
              <w:tabs>
                <w:tab w:val="left" w:pos="312"/>
              </w:tabs>
              <w:kinsoku w:val="0"/>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3.出库作业中的单证流转——出库准备、出库理货、出库交接、移库作业。</w:t>
            </w:r>
          </w:p>
          <w:p>
            <w:pPr>
              <w:widowControl/>
              <w:kinsoku w:val="0"/>
              <w:autoSpaceDE w:val="0"/>
              <w:autoSpaceDN w:val="0"/>
              <w:adjustRightInd w:val="0"/>
              <w:snapToGrid w:val="0"/>
              <w:spacing w:line="40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1.掌握货物验收、入库、储位分配等环节流程及相关单据；</w:t>
            </w:r>
          </w:p>
          <w:p>
            <w:pPr>
              <w:widowControl/>
              <w:kinsoku w:val="0"/>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2.会填写盘点单，处理盘点差异；</w:t>
            </w:r>
          </w:p>
          <w:p>
            <w:pPr>
              <w:widowControl/>
              <w:kinsoku w:val="0"/>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3.掌握出库作业环节相关单据的缮制。</w:t>
            </w:r>
          </w:p>
        </w:tc>
        <w:tc>
          <w:tcPr>
            <w:tcW w:w="2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1.教师带领学生熟读案例，探究各种单证应用的场合及作用，分析制单依据；</w:t>
            </w:r>
          </w:p>
          <w:p>
            <w:pPr>
              <w:autoSpaceDE w:val="0"/>
              <w:autoSpaceDN w:val="0"/>
              <w:adjustRightInd w:val="0"/>
              <w:snapToGrid w:val="0"/>
              <w:spacing w:line="40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2.教师提前打印出空白单据，学生分小组，缮制单据；</w:t>
            </w:r>
          </w:p>
          <w:p>
            <w:pPr>
              <w:autoSpaceDE w:val="0"/>
              <w:autoSpaceDN w:val="0"/>
              <w:adjustRightInd w:val="0"/>
              <w:snapToGrid w:val="0"/>
              <w:spacing w:line="40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3.每小组在教师指导下将单据填制完整，教师讲解易错点。根据身份角色的不同，注意区分哪些是必填项目，哪些是不须填写的项目。</w:t>
            </w:r>
          </w:p>
        </w:tc>
        <w:tc>
          <w:tcPr>
            <w:tcW w:w="10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1"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运输单据</w:t>
            </w:r>
          </w:p>
        </w:tc>
        <w:tc>
          <w:tcPr>
            <w:tcW w:w="372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1.公路运输作业——受理业务、调度安排、集货发运、到达派送、返单结算；</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2.铁路运输作业——申报计划、进站发运、运送到站；</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3.航空运输作业；</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4.水路运输作业。</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1.知道公路、铁路、航空、水路运输业务流程；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2.会缮制“作业通知单”、“公路货物运单”、“国内货物运输险投保单”等单据；</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3.会计算运费、保费。</w:t>
            </w:r>
          </w:p>
        </w:tc>
        <w:tc>
          <w:tcPr>
            <w:tcW w:w="2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1.教师带领学生熟读案例，探究各种单证应用的场合及作用，分析制单依据；</w:t>
            </w:r>
          </w:p>
          <w:p>
            <w:pPr>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2.教师提前打印出空白单据，学生分小组，缮制单据；</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3.每小组在教师指导下将单据填制完整，教师讲解易错点。根据身份角色的不同，注意区分哪些是必填项目，哪些是不须填写的项目；</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4.运单填制时，货物体积、重量的计算对学生来说是难点，需要多讲、多练。</w:t>
            </w:r>
          </w:p>
        </w:tc>
        <w:tc>
          <w:tcPr>
            <w:tcW w:w="10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5"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134"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项目四</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货代单据</w:t>
            </w:r>
          </w:p>
        </w:tc>
        <w:tc>
          <w:tcPr>
            <w:tcW w:w="372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1.出口运输作业——受理业务、报关业务、报检业务；</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2.进口运输作业——报关业务、报检业务。</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1.知道进出口环节业务流程；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2.会缮制“订舱委托书”、“集装箱发放/设备交接单”、“装箱单”等单据。</w:t>
            </w:r>
          </w:p>
        </w:tc>
        <w:tc>
          <w:tcPr>
            <w:tcW w:w="2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1.教师带领学生熟读案例，探究各种单证应用的场合及作用，分析制单依据；</w:t>
            </w:r>
          </w:p>
          <w:p>
            <w:pPr>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2.教师带领学生学习货代常见的英文词汇、短语；</w:t>
            </w:r>
          </w:p>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3.教师讲解常见的贸易术语。</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（1）坚持正确的育人理念，充分挖掘本课程思政元素，积极组织课程思政教育，养成正确的物流服务与管理从业人员职业道德意识，将立德树人贯穿于课程实施全过程。</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（2）课程以物流单证实务理论为主体，以职业实践为主线，积极探索理论和实践相结合的教学模式，采用理实一体化教学，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学生掌握阿拉伯数字、中文大写数码字的规范写法；具有一定的外贸单证识读能力；掌握仓储、运输等常规单证的缮制；掌握盘点、储位分配、公路运输调度等物流相关岗位的业务操作</w:t>
      </w:r>
      <w:r>
        <w:rPr>
          <w:rFonts w:hint="eastAsia" w:ascii="仿宋_GB2312" w:hAnsi="仿宋_GB2312" w:eastAsia="仿宋_GB2312" w:cs="仿宋_GB2312"/>
          <w:kern w:val="0"/>
          <w:sz w:val="32"/>
          <w:szCs w:val="32"/>
          <w:lang w:bidi="ar"/>
        </w:rPr>
        <w:t>。</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物流行业技术相结合，力求简单实用。</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（4）教学过程中注重学生自主学习，引导学生从多个角度提出问题，用多种方法解决问题，运用多种信息技术手段丰富教学内容，充分应用单证训练软件，提高教学效果。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（3）发挥不同评价主体的评价作用，将教师的评价与学生的自评、互评等有机结合起来。</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课程教学团队有校内专职教师与校外兼职教师共同组成，校内专职教师完成课程教学活动设计及校内教学环节，校外兼职教师参与课程开发。课程教学团队具备丰富的职业能力，能够准确的对教学标准进行制定和修订，同时由于企业教师的介入，便于企业现场教学，更有助于学生和教师实现真正意义上的“做中学”、“做中教”，为学生通过课程学习，为学生形成职业能力提供师资保证。</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4.教材编写与选用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（1）教材编写以本课程标准为基本要求，编写时应将物流单证的基本知识与生产生活中的实际应用相结合，注重实践技能的培养。</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（3）教材应配备习题集等其他相关的教学资料。</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利用现代信息技术开发挂图、课件库、案例库、视频库、试题库、文献库、视听光盘等教学资源，通过搭建多维、动态、活跃、自主的课程训练平台，使学生的主动性、积极性和创造性得以充分发挥。同时联合各校开发多媒体课件，努力实现跨校多媒体资源的共享。搭建产学合作平台，充分利用本行业的企业资源，满足学生参观、实训和毕业实习的需要，并在合作中关注学生职业能力的发展和教学内容的调整。积极利用电子书籍、电子期刊、数字图书馆、各大网站等网络资源，使教学内容从单一化向多元化转变，使学生知识和能力的拓展成为可能。利用现代物流开放实训中心，将教学与培训相结合、教学与实训相结合，满足学生综合职业能力培养的要求。</w:t>
      </w:r>
    </w:p>
    <w:p>
      <w:pPr>
        <w:autoSpaceDE w:val="0"/>
        <w:adjustRightInd w:val="0"/>
        <w:snapToGrid w:val="0"/>
        <w:spacing w:line="56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5</w:t>
      </w:r>
      <w:r>
        <w:rPr>
          <w:rFonts w:hint="eastAsia" w:ascii="仿宋_GB2312" w:hAnsi="仿宋_GB2312" w:eastAsia="仿宋_GB2312" w:cs="仿宋_GB2312"/>
          <w:sz w:val="32"/>
          <w:szCs w:val="32"/>
          <w:lang w:bidi="ar"/>
        </w:rPr>
        <w:t>）教材选用应按照《职业院校教材管理办法》中的要求，规范选用教材，优先选用国家和省级规划教材，鼓励使用新型活页式、工作手册式教材。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029"/>
        <w:gridCol w:w="121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95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402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16"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数码字的正确书写</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日期、时间的认真书写</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中国各个省份名称及简称</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单证制作要求</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入库作业的入库准备</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入库作业的验收到货</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入库作业的实施入库</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在库作业的盘点作业、出库准备</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出库作业的出库理货、出库交接</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出库作业的移库作业</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公路运输作业的受理业务、集货发运</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航空运输作业</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水路运输作业</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出口运输作业-受理业务</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出口运输作业-报关业务</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出口运输作业-报检业务</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进口运输作业-报关业务</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4029"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进口运输作业-报检业务</w:t>
            </w:r>
          </w:p>
        </w:tc>
        <w:tc>
          <w:tcPr>
            <w:tcW w:w="1216"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2318" w:type="dxa"/>
            <w:vAlign w:val="center"/>
          </w:tcPr>
          <w:p>
            <w:pPr>
              <w:keepNext w:val="0"/>
              <w:keepLines w:val="0"/>
              <w:pageBreakBefore w:val="0"/>
              <w:wordWrap/>
              <w:overflowPunct/>
              <w:topLinePunct w:val="0"/>
              <w:autoSpaceDE w:val="0"/>
              <w:bidi w:val="0"/>
              <w:adjustRightInd w:val="0"/>
              <w:snapToGrid w:val="0"/>
              <w:spacing w:line="32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教学演示，讲练结合</w:t>
            </w:r>
          </w:p>
        </w:tc>
      </w:tr>
    </w:tbl>
    <w:p>
      <w:pPr>
        <w:autoSpaceDE w:val="0"/>
        <w:adjustRightInd w:val="0"/>
        <w:snapToGrid w:val="0"/>
        <w:spacing w:line="360" w:lineRule="auto"/>
        <w:ind w:firstLine="640" w:firstLineChars="200"/>
        <w:textAlignment w:val="baseline"/>
        <w:rPr>
          <w:rFonts w:ascii="仿宋_GB2312" w:hAnsi="仿宋_GB2312" w:eastAsia="仿宋_GB2312" w:cs="仿宋_GB2312"/>
          <w:sz w:val="32"/>
          <w:szCs w:val="32"/>
          <w:highlight w:val="yellow"/>
          <w:lang w:bidi="ar"/>
        </w:rPr>
      </w:pPr>
    </w:p>
    <w:p>
      <w:pPr>
        <w:widowControl/>
        <w:jc w:val="left"/>
        <w:rPr>
          <w:rFonts w:ascii="Cambria" w:hAnsi="Cambria" w:eastAsia="方正小标宋_GBK"/>
          <w:sz w:val="32"/>
          <w:szCs w:val="32"/>
        </w:rPr>
      </w:pPr>
    </w:p>
    <w:p>
      <w:pPr>
        <w:widowControl/>
        <w:jc w:val="left"/>
        <w:rPr>
          <w:rFonts w:ascii="Cambria" w:hAnsi="Cambria" w:eastAsia="方正小标宋_GBK"/>
          <w:sz w:val="32"/>
          <w:szCs w:val="32"/>
        </w:rPr>
      </w:pPr>
      <w:r>
        <w:rPr>
          <w:rFonts w:ascii="Cambria" w:hAnsi="Cambria" w:eastAsia="方正小标宋_GBK"/>
          <w:sz w:val="32"/>
          <w:szCs w:val="32"/>
        </w:rPr>
        <w:br w:type="page"/>
      </w:r>
    </w:p>
    <w:p>
      <w:pPr>
        <w:snapToGrid w:val="0"/>
        <w:spacing w:after="120" w:afterLines="50" w:line="560" w:lineRule="exact"/>
        <w:jc w:val="center"/>
        <w:rPr>
          <w:rFonts w:ascii="方正小标宋_GBK" w:hAnsi="宋体" w:eastAsia="方正小标宋_GBK"/>
          <w:sz w:val="32"/>
          <w:szCs w:val="32"/>
        </w:rPr>
      </w:pPr>
      <w:r>
        <w:rPr>
          <w:rFonts w:ascii="方正小标宋简体" w:hAnsi="方正小标宋简体" w:eastAsia="方正小标宋简体" w:cs="方正小标宋简体"/>
          <w:sz w:val="32"/>
          <w:szCs w:val="32"/>
        </w:rPr>
        <w:t>物流企业管理</w:t>
      </w:r>
      <w:r>
        <w:rPr>
          <w:rFonts w:hint="eastAsia" w:ascii="方正小标宋简体" w:hAnsi="方正小标宋简体" w:eastAsia="方正小标宋简体" w:cs="方正小标宋简体"/>
          <w:sz w:val="32"/>
          <w:szCs w:val="32"/>
        </w:rPr>
        <w:t>课程标准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widowControl/>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中等职业物流服务与管理专业的一门专业拓展课程,是一门实践性和理论性、科学性和艺术性兼而有之的应用性学科。该课程旨在让学生树立现代管理的思想观念，掌握和运用管理学的基本原理和方法，提高自身的管理素质，培养和提高学生的理论素质和实践技能，并通过实践技能训练，提高学生的实践能力、创新能力和职业能力，为学生就业打下坚实的理论基础和职业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（5）具有科学探索精神与创新意识。</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（1）了解物流企业的概念、分类及其特征；</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（2）描述物流企业管理要素，说明企业文化的功能；</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（3）能够准确描述物流企业营销管理程序；</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（4）说明选择物流服务目标市场的过程；</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（5）掌握物流企业顾客服务绩效评价指标设计的原则。</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（1）理解并掌握物流企业管理的基本理论；</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（2）掌握5S现场管理的内容，能用5S管理思想进行现场管理；</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（3）能够对物流企业的设备进行常规管理；</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（4）能够利用成本管理思想对物流企业的成本进行管理；</w:t>
      </w:r>
    </w:p>
    <w:p>
      <w:pPr>
        <w:autoSpaceDE w:val="0"/>
        <w:adjustRightInd w:val="0"/>
        <w:snapToGrid w:val="0"/>
        <w:spacing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（5）能够运用所学知识进行物流企业决策。</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54学时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autoSpaceDE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tbl>
      <w:tblPr>
        <w:tblStyle w:val="15"/>
        <w:tblW w:w="9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889"/>
        <w:gridCol w:w="3165"/>
        <w:gridCol w:w="2592"/>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889"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165"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2592"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20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88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第一章</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管理概述</w:t>
            </w:r>
          </w:p>
        </w:tc>
        <w:tc>
          <w:tcPr>
            <w:tcW w:w="316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1.物流企业；</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2.物流企业管理；</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3.物流企业管理环境。</w:t>
            </w:r>
          </w:p>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1.熟知企业具备的基本要素；</w:t>
            </w:r>
          </w:p>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2.知道物流企业的基本职能。</w:t>
            </w:r>
          </w:p>
        </w:tc>
        <w:tc>
          <w:tcPr>
            <w:tcW w:w="25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讲解典型案例，深入浅出引导使学生对管理产生学习兴趣，明确学习意义，为下一步的学习打好基础。</w:t>
            </w:r>
          </w:p>
        </w:tc>
        <w:tc>
          <w:tcPr>
            <w:tcW w:w="120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88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第二章</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营销管理</w:t>
            </w:r>
          </w:p>
        </w:tc>
        <w:tc>
          <w:tcPr>
            <w:tcW w:w="316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1.物流企业营销概述；</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2.物流企业营销管理；</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3.物流企业营销模式；</w:t>
            </w:r>
          </w:p>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1.知道市场营销的核心概念；</w:t>
            </w:r>
          </w:p>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2.了解市场营销组合有哪些；</w:t>
            </w:r>
          </w:p>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3.知道营销管理程序。</w:t>
            </w:r>
          </w:p>
        </w:tc>
        <w:tc>
          <w:tcPr>
            <w:tcW w:w="25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通过情景模拟、角色扮演等展开教学与实训。</w:t>
            </w:r>
          </w:p>
        </w:tc>
        <w:tc>
          <w:tcPr>
            <w:tcW w:w="120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188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第三章</w:t>
            </w:r>
          </w:p>
          <w:p>
            <w:pPr>
              <w:widowControl/>
              <w:kinsoku w:val="0"/>
              <w:autoSpaceDE w:val="0"/>
              <w:autoSpaceDN w:val="0"/>
              <w:adjustRightInd w:val="0"/>
              <w:snapToGrid w:val="0"/>
              <w:spacing w:line="360" w:lineRule="exact"/>
              <w:jc w:val="center"/>
              <w:textAlignment w:val="baseline"/>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物流企业客户</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服务管理</w:t>
            </w:r>
          </w:p>
        </w:tc>
        <w:tc>
          <w:tcPr>
            <w:tcW w:w="3165" w:type="dxa"/>
            <w:tcBorders>
              <w:top w:val="single" w:color="auto" w:sz="4" w:space="0"/>
              <w:left w:val="nil"/>
              <w:bottom w:val="single" w:color="auto" w:sz="4" w:space="0"/>
              <w:right w:val="single" w:color="auto" w:sz="4" w:space="0"/>
            </w:tcBorders>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教学内容：</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1.物流企业客户服务的内涵；</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2.物流企业客户服务的衡量和控制。</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教学要求:</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1.解释增值服务定义；</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2.概括增值服务的类型。</w:t>
            </w:r>
          </w:p>
        </w:tc>
        <w:tc>
          <w:tcPr>
            <w:tcW w:w="25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通过案例分析和分组讨论等方法展开教学与实训。</w:t>
            </w:r>
          </w:p>
        </w:tc>
        <w:tc>
          <w:tcPr>
            <w:tcW w:w="120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188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第四章</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人员管理</w:t>
            </w:r>
          </w:p>
        </w:tc>
        <w:tc>
          <w:tcPr>
            <w:tcW w:w="316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教学内容：</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1.物流企业人员管理概述；</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2.物流企业岗位人员作业规范与作业流程；</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r>
              <w:rPr>
                <w:rFonts w:ascii="仿宋_GB2312" w:hAnsi="仿宋_GB2312" w:eastAsia="仿宋_GB2312" w:cs="仿宋_GB2312"/>
                <w:kern w:val="0"/>
                <w:szCs w:val="21"/>
                <w:lang w:bidi="ar"/>
              </w:rPr>
              <w:t>.</w:t>
            </w:r>
            <w:r>
              <w:rPr>
                <w:rFonts w:hint="eastAsia" w:ascii="仿宋_GB2312" w:hAnsi="仿宋_GB2312" w:eastAsia="仿宋_GB2312" w:cs="仿宋_GB2312"/>
                <w:kern w:val="0"/>
                <w:szCs w:val="21"/>
                <w:lang w:bidi="ar"/>
              </w:rPr>
              <w:t>工作绩效评估；</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ascii="仿宋_GB2312" w:hAnsi="仿宋_GB2312" w:eastAsia="仿宋_GB2312" w:cs="仿宋_GB2312"/>
                <w:kern w:val="0"/>
                <w:szCs w:val="21"/>
                <w:lang w:bidi="ar"/>
              </w:rPr>
              <w:t>4.</w:t>
            </w:r>
            <w:r>
              <w:rPr>
                <w:rFonts w:hint="eastAsia" w:ascii="仿宋_GB2312" w:hAnsi="仿宋_GB2312" w:eastAsia="仿宋_GB2312" w:cs="仿宋_GB2312"/>
                <w:kern w:val="0"/>
                <w:szCs w:val="21"/>
                <w:lang w:bidi="ar"/>
              </w:rPr>
              <w:t>5S管理。</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教学要求：</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1.了解物流企业岗位人员作业规范和作业流程；</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2.说明5S管理的过程。</w:t>
            </w:r>
          </w:p>
        </w:tc>
        <w:tc>
          <w:tcPr>
            <w:tcW w:w="25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通过情景模拟、角色扮演等展开教学与实训。</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188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第五章</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设备管理</w:t>
            </w:r>
          </w:p>
        </w:tc>
        <w:tc>
          <w:tcPr>
            <w:tcW w:w="3165"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教学内容：</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1.物流企业设备概述；</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2.物流企业设备保养与维护。</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教学要求：</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1.知道物流设备是什么；</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2.物流机械设备分为哪些。</w:t>
            </w:r>
          </w:p>
        </w:tc>
        <w:tc>
          <w:tcPr>
            <w:tcW w:w="25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通过情景模拟、角色扮演等展开教学与实训。</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188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第六章</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货物管理</w:t>
            </w:r>
          </w:p>
        </w:tc>
        <w:tc>
          <w:tcPr>
            <w:tcW w:w="3165" w:type="dxa"/>
            <w:tcBorders>
              <w:top w:val="single" w:color="auto" w:sz="4" w:space="0"/>
              <w:left w:val="nil"/>
              <w:bottom w:val="single" w:color="auto" w:sz="4" w:space="0"/>
              <w:right w:val="single" w:color="auto" w:sz="4" w:space="0"/>
            </w:tcBorders>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教学内容：</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1.货品分类；</w:t>
            </w:r>
          </w:p>
          <w:p>
            <w:pPr>
              <w:widowControl/>
              <w:tabs>
                <w:tab w:val="left" w:pos="312"/>
              </w:tabs>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2.货品安全要求。</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教学要求：</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1.熟知ABC分类法；货品分类要达到什么效果；</w:t>
            </w:r>
          </w:p>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3.货品防霉有哪几种常用方法。</w:t>
            </w:r>
          </w:p>
        </w:tc>
        <w:tc>
          <w:tcPr>
            <w:tcW w:w="25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4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通过情景模拟、角色扮演等展开教学与实训。</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188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第七章</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信息管理</w:t>
            </w:r>
          </w:p>
        </w:tc>
        <w:tc>
          <w:tcPr>
            <w:tcW w:w="3165" w:type="dxa"/>
            <w:tcBorders>
              <w:top w:val="single" w:color="auto" w:sz="4" w:space="0"/>
              <w:left w:val="nil"/>
              <w:bottom w:val="single" w:color="auto" w:sz="4" w:space="0"/>
              <w:right w:val="single" w:color="auto" w:sz="4" w:space="0"/>
            </w:tcBorders>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教学内容：</w:t>
            </w:r>
          </w:p>
          <w:p>
            <w:pPr>
              <w:widowControl/>
              <w:tabs>
                <w:tab w:val="left" w:pos="312"/>
              </w:tabs>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1.物流企业信息管理概述；</w:t>
            </w:r>
          </w:p>
          <w:p>
            <w:pPr>
              <w:widowControl/>
              <w:tabs>
                <w:tab w:val="left" w:pos="312"/>
              </w:tabs>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2.物流企业信息安全维护。</w:t>
            </w:r>
          </w:p>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教学要求：</w:t>
            </w:r>
          </w:p>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1.知道物流信息系统的功能；</w:t>
            </w:r>
          </w:p>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2.简述信息系统安全管理内容。</w:t>
            </w:r>
          </w:p>
        </w:tc>
        <w:tc>
          <w:tcPr>
            <w:tcW w:w="25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通过案例分析和分组讨论等方法展开教学与实训。</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1889"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第八章</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成本管理</w:t>
            </w:r>
          </w:p>
        </w:tc>
        <w:tc>
          <w:tcPr>
            <w:tcW w:w="3165" w:type="dxa"/>
            <w:tcBorders>
              <w:top w:val="single" w:color="auto" w:sz="4" w:space="0"/>
              <w:left w:val="nil"/>
              <w:bottom w:val="single" w:color="auto" w:sz="4" w:space="0"/>
              <w:right w:val="single" w:color="auto" w:sz="4" w:space="0"/>
            </w:tcBorders>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教学内容：</w:t>
            </w:r>
          </w:p>
          <w:p>
            <w:pPr>
              <w:widowControl/>
              <w:tabs>
                <w:tab w:val="left" w:pos="312"/>
              </w:tabs>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1.物流企业成本概述；</w:t>
            </w:r>
          </w:p>
          <w:p>
            <w:pPr>
              <w:widowControl/>
              <w:tabs>
                <w:tab w:val="left" w:pos="312"/>
              </w:tabs>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2.物流企业成本管理的内容和方法。</w:t>
            </w:r>
          </w:p>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kern w:val="0"/>
                <w:szCs w:val="21"/>
                <w:lang w:bidi="ar"/>
              </w:rPr>
            </w:pPr>
            <w:r>
              <w:rPr>
                <w:rFonts w:hint="eastAsia" w:ascii="仿宋_GB2312" w:hAnsi="仿宋_GB2312" w:eastAsia="仿宋_GB2312" w:cs="仿宋_GB2312"/>
                <w:b/>
                <w:kern w:val="0"/>
                <w:szCs w:val="21"/>
                <w:lang w:bidi="ar"/>
              </w:rPr>
              <w:t>教学要求：</w:t>
            </w:r>
          </w:p>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1.知道作业成本法；</w:t>
            </w:r>
          </w:p>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2.了解物流企业成本的构成。</w:t>
            </w:r>
          </w:p>
        </w:tc>
        <w:tc>
          <w:tcPr>
            <w:tcW w:w="2592"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通过情景模拟、角色扮演等展开教学与实训。</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r>
    </w:tbl>
    <w:p>
      <w:pPr>
        <w:widowControl/>
        <w:autoSpaceDE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（1）本课程在教学过程中，应立足于加强学生实际动手能力的培养，采用校企合作、工学结合项目教学，以任务驱动型项目提高学生学习兴趣，实行分组探究式学习，提高学生分析问题、解决问题的能力。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本课程教学须充分利用学校和企业的两种资源，学校专职教师与企业兼职教师教学相结合，采用现代多媒体教学与企业现场实践教学相结合，注重学做结合，边讲边学，“教”与“学”互动，做中学，学中做，强化学生实践能力和岗位职业能力的提高。</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（1）采用过程性评价和结果性评价相结合，定量评价与定性评价相结合，教师评价和学生自评、互评相结合，激发学生学习的热情，促进学生积极发展。</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（2）应注重对学生动手能力和在实践中分析问题、解决问题能力的考核，对在学习和应用上有创新的学生给予特别鼓励，综合评价学生的能力。</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（3）善于发现学生的优点，针对不同层次、特点的学生实行差别考核机制。鼓励学生不断超越自我，向别人学，和自己比。</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注重课程资源的开发，制作和搜集挂图、幻灯片、投影片、视听光盘、多媒体软件、电子教案等教学资源，充分利用这些资源创设形象生动的工作情境，激发学生的学习兴趣，促进学生对知识的理解和掌握。</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4.教材编写与选用</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（1）教材编写应以本教学大纲为基本依据。</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（2）通过工作任务的需求，从有利于各专门化课程的学习出发，以够用为度为原则，设定能力目标，能力标准，引入中职学生所必需的理论知识，加强实际操作能力的训练。</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（3）教材应图文并茂，提高学生的学习兴趣，加深学生对管理成本管理、盈利等实务知识的理解与掌握。</w:t>
      </w:r>
    </w:p>
    <w:p>
      <w:pPr>
        <w:autoSpaceDE w:val="0"/>
        <w:adjustRightInd w:val="0"/>
        <w:snapToGrid w:val="0"/>
        <w:spacing w:line="56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（4）应符合中职生的认知特点，尽量提供多介质、多媒体、满足不同教学需求的教材，为教师和学生提供较为全面的支持。</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12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959"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69"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276"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318"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物流企业的概念分类及其特征、管理定义</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物流企业应具备的条件</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情景模拟、角色扮演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市场营销定义、物流企业营销管理程序</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情景模拟、角色扮演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营销管理内涵、基本营销模式</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物流企业客户服务的内涵、重要性</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客户服务的要素、增值服务的定义</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人力资源管理的定义</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物流企业岗位人员作业规范和作业过程</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物流企业设备管理的内容、设备维护与保养的内涵和要求</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设备检查的方法</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货品分类原则、货品ABC分类</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货品防霉常用的方法</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物流信息系统的功能、安全的内涵</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情景模拟、角色扮演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影响信息系统安全的因素、安全策略</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情景模拟、角色扮演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69" w:type="dxa"/>
            <w:vAlign w:val="center"/>
          </w:tcPr>
          <w:p>
            <w:pPr>
              <w:keepNext w:val="0"/>
              <w:keepLines w:val="0"/>
              <w:pageBreakBefore w:val="0"/>
              <w:widowControl w:val="0"/>
              <w:tabs>
                <w:tab w:val="left" w:pos="312"/>
              </w:tabs>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物流企业成本的构成、管理内容</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情景模拟、角色扮演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作业成本法</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情景模拟、角色扮演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货品老化安全要求</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情景模拟、角色扮演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5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69"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危险品储存安全要求</w:t>
            </w:r>
          </w:p>
        </w:tc>
        <w:tc>
          <w:tcPr>
            <w:tcW w:w="1276"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2318" w:type="dxa"/>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案例分析、分组讨论</w:t>
            </w:r>
          </w:p>
        </w:tc>
      </w:tr>
    </w:tbl>
    <w:p>
      <w:pPr>
        <w:widowControl/>
        <w:jc w:val="left"/>
        <w:rPr>
          <w:rFonts w:ascii="方正小标宋简体" w:hAnsi="方正小标宋简体" w:eastAsia="方正小标宋简体" w:cs="方正小标宋简体"/>
          <w:sz w:val="32"/>
          <w:szCs w:val="32"/>
        </w:rPr>
      </w:pPr>
      <w:bookmarkStart w:id="24" w:name="_Hlk155096708"/>
      <w:bookmarkStart w:id="25" w:name="_Hlk155097503"/>
    </w:p>
    <w:p>
      <w:pPr>
        <w:widowControl/>
        <w:jc w:val="left"/>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after="120" w:afterLines="50" w:line="5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物流信息技术</w:t>
      </w:r>
      <w:bookmarkEnd w:id="24"/>
      <w:r>
        <w:rPr>
          <w:rFonts w:hint="eastAsia" w:ascii="方正小标宋简体" w:hAnsi="方正小标宋简体" w:eastAsia="方正小标宋简体" w:cs="方正小标宋简体"/>
          <w:sz w:val="32"/>
          <w:szCs w:val="32"/>
        </w:rPr>
        <w:t>课程标准</w:t>
      </w:r>
    </w:p>
    <w:bookmarkEnd w:id="25"/>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textAlignment w:val="baseline"/>
        <w:rPr>
          <w:rFonts w:ascii="仿宋" w:hAnsi="仿宋" w:eastAsia="仿宋" w:cs="仿宋"/>
          <w:sz w:val="32"/>
          <w:szCs w:val="32"/>
          <w:lang w:bidi="ar"/>
        </w:rPr>
      </w:pPr>
      <w:r>
        <w:rPr>
          <w:rFonts w:hint="eastAsia" w:ascii="仿宋" w:hAnsi="仿宋" w:eastAsia="仿宋" w:cs="仿宋"/>
          <w:sz w:val="32"/>
          <w:szCs w:val="32"/>
          <w:lang w:bidi="ar"/>
        </w:rPr>
        <w:t>本课程是物流专业的一门专业拓展课程。通过学习</w:t>
      </w:r>
      <w:bookmarkStart w:id="26" w:name="_Hlk155096779"/>
      <w:r>
        <w:rPr>
          <w:rFonts w:hint="eastAsia" w:ascii="仿宋" w:hAnsi="仿宋" w:eastAsia="仿宋" w:cs="仿宋"/>
          <w:sz w:val="32"/>
          <w:szCs w:val="32"/>
          <w:lang w:bidi="ar"/>
        </w:rPr>
        <w:t>条码技术、EDI技术等专业</w:t>
      </w:r>
      <w:bookmarkEnd w:id="26"/>
      <w:r>
        <w:rPr>
          <w:rFonts w:hint="eastAsia" w:ascii="仿宋" w:hAnsi="仿宋" w:eastAsia="仿宋" w:cs="仿宋"/>
          <w:sz w:val="32"/>
          <w:szCs w:val="32"/>
          <w:lang w:bidi="ar"/>
        </w:rPr>
        <w:t>知识，使学生能够掌握</w:t>
      </w:r>
      <w:bookmarkStart w:id="27" w:name="_Hlk155096888"/>
      <w:r>
        <w:rPr>
          <w:rFonts w:hint="eastAsia" w:ascii="仿宋" w:hAnsi="仿宋" w:eastAsia="仿宋" w:cs="仿宋"/>
          <w:sz w:val="32"/>
          <w:szCs w:val="32"/>
          <w:lang w:bidi="ar"/>
        </w:rPr>
        <w:t>运输、仓储和配送作业中的信息管理</w:t>
      </w:r>
      <w:bookmarkEnd w:id="27"/>
      <w:r>
        <w:rPr>
          <w:rFonts w:hint="eastAsia" w:ascii="仿宋" w:hAnsi="仿宋" w:eastAsia="仿宋" w:cs="仿宋"/>
          <w:sz w:val="32"/>
          <w:szCs w:val="32"/>
          <w:lang w:bidi="ar"/>
        </w:rPr>
        <w:t>；具有</w:t>
      </w:r>
      <w:bookmarkStart w:id="28" w:name="_Hlk155096976"/>
      <w:r>
        <w:rPr>
          <w:rFonts w:hint="eastAsia" w:ascii="仿宋" w:hAnsi="仿宋" w:eastAsia="仿宋" w:cs="仿宋"/>
          <w:sz w:val="32"/>
          <w:szCs w:val="32"/>
          <w:lang w:bidi="ar"/>
        </w:rPr>
        <w:t>物流信息采集方法、物流信息处理能力，能</w:t>
      </w:r>
      <w:r>
        <w:rPr>
          <w:rFonts w:hint="eastAsia" w:ascii="仿宋_GB2312" w:hAnsi="仿宋_GB2312" w:eastAsia="仿宋_GB2312" w:cs="仿宋_GB2312"/>
          <w:sz w:val="32"/>
          <w:szCs w:val="32"/>
          <w:lang w:bidi="ar"/>
        </w:rPr>
        <w:t>引导学生从物流信息技术等方面进行探讨和学习，</w:t>
      </w:r>
      <w:r>
        <w:rPr>
          <w:rFonts w:hint="eastAsia" w:ascii="仿宋" w:hAnsi="仿宋" w:eastAsia="仿宋" w:cs="仿宋"/>
          <w:kern w:val="0"/>
          <w:sz w:val="32"/>
          <w:szCs w:val="32"/>
          <w:lang w:bidi="ar"/>
        </w:rPr>
        <w:t>增强学生的职业道德和工匠精神</w:t>
      </w:r>
      <w:r>
        <w:rPr>
          <w:rFonts w:hint="eastAsia" w:ascii="仿宋" w:hAnsi="仿宋" w:eastAsia="仿宋" w:cs="仿宋"/>
          <w:sz w:val="32"/>
          <w:szCs w:val="32"/>
          <w:lang w:bidi="ar"/>
        </w:rPr>
        <w:t>，培养学生的</w:t>
      </w:r>
      <w:bookmarkEnd w:id="28"/>
      <w:r>
        <w:rPr>
          <w:rFonts w:hint="eastAsia" w:ascii="仿宋" w:hAnsi="仿宋" w:eastAsia="仿宋" w:cs="仿宋"/>
          <w:sz w:val="32"/>
          <w:szCs w:val="32"/>
          <w:lang w:bidi="ar"/>
        </w:rPr>
        <w:t>适应职业变化的能力，</w:t>
      </w:r>
      <w:bookmarkStart w:id="29" w:name="_Hlk155097016"/>
      <w:r>
        <w:rPr>
          <w:rFonts w:hint="eastAsia" w:ascii="仿宋" w:hAnsi="仿宋" w:eastAsia="仿宋" w:cs="仿宋"/>
          <w:sz w:val="32"/>
          <w:szCs w:val="32"/>
          <w:lang w:bidi="ar"/>
        </w:rPr>
        <w:t>提高学生综合素质和职业能力</w:t>
      </w:r>
      <w:bookmarkEnd w:id="29"/>
      <w:r>
        <w:rPr>
          <w:rFonts w:hint="eastAsia" w:ascii="仿宋" w:hAnsi="仿宋" w:eastAsia="仿宋" w:cs="仿宋"/>
          <w:sz w:val="32"/>
          <w:szCs w:val="32"/>
          <w:lang w:bidi="ar"/>
        </w:rPr>
        <w:t>，</w:t>
      </w:r>
      <w:bookmarkStart w:id="30" w:name="_Hlk155097031"/>
      <w:r>
        <w:rPr>
          <w:rFonts w:hint="eastAsia" w:ascii="仿宋" w:hAnsi="仿宋" w:eastAsia="仿宋" w:cs="仿宋"/>
          <w:sz w:val="32"/>
          <w:szCs w:val="32"/>
          <w:lang w:bidi="ar"/>
        </w:rPr>
        <w:t>为学生后续其他专业课程的学习打下基础</w:t>
      </w:r>
      <w:bookmarkEnd w:id="30"/>
      <w:r>
        <w:rPr>
          <w:rFonts w:hint="eastAsia" w:ascii="仿宋" w:hAnsi="仿宋" w:eastAsia="仿宋" w:cs="仿宋"/>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（1）掌握物流信息处理的结果对整个物流流程的反馈和优化；</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（2）掌握物流信息技术在物流作业各个环节中的应用；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（3）掌握各类物流信息系统在物流作业环节的操作；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（4）掌握现代物流信息技术工作原理，掌握其使用方法。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（1）能够熟练使用各类物流信息设备；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（2）能够正确选择、使用、保养各种物流信息技术设备；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（3）能够利用现代物流信息技术，运用物流信息系统完成对货物运输过程中的信息管理和过程监控；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（4）能够利用现代物流信息技术，运用物流信息系统完成对货物仓储作业过程中的信息管理；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（5）能够利用现代物流信息技术，运用物流信息系统完成对货物配送作业计程中的信息管理；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（6）能够正确、有效地收集物流信息，并能够应用物流信息处理技术，分运输、仓储、配送各环节。</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 参考学时</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 w:hAnsi="仿宋" w:eastAsia="仿宋" w:cs="仿宋"/>
          <w:sz w:val="28"/>
          <w:szCs w:val="28"/>
        </w:rPr>
      </w:pPr>
      <w:r>
        <w:rPr>
          <w:rFonts w:ascii="仿宋_GB2312" w:hAnsi="仿宋_GB2312" w:eastAsia="仿宋_GB2312" w:cs="仿宋_GB2312"/>
          <w:sz w:val="32"/>
          <w:szCs w:val="32"/>
          <w:lang w:bidi="ar"/>
        </w:rPr>
        <w:t>72</w:t>
      </w:r>
      <w:r>
        <w:rPr>
          <w:rFonts w:hint="eastAsia" w:ascii="仿宋_GB2312" w:hAnsi="仿宋_GB2312" w:eastAsia="仿宋_GB2312" w:cs="仿宋_GB2312"/>
          <w:sz w:val="32"/>
          <w:szCs w:val="32"/>
          <w:lang w:bidi="ar"/>
        </w:rPr>
        <w:t>学时</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 课程学分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楷体_GB2312" w:hAnsi="仿宋_GB2312" w:eastAsia="楷体_GB2312" w:cs="楷体_GB2312"/>
          <w:sz w:val="32"/>
          <w:szCs w:val="32"/>
          <w:lang w:bidi="ar"/>
        </w:rPr>
      </w:pPr>
      <w:r>
        <w:rPr>
          <w:rFonts w:hint="eastAsia" w:ascii="楷体" w:hAnsi="楷体" w:eastAsia="楷体" w:cs="楷体"/>
          <w:sz w:val="32"/>
          <w:szCs w:val="32"/>
          <w:lang w:bidi="ar"/>
        </w:rPr>
        <w:t>(五) 课程内容和要求</w:t>
      </w:r>
    </w:p>
    <w:tbl>
      <w:tblPr>
        <w:tblStyle w:val="15"/>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86"/>
        <w:gridCol w:w="3690"/>
        <w:gridCol w:w="19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序号</w:t>
            </w:r>
          </w:p>
        </w:tc>
        <w:tc>
          <w:tcPr>
            <w:tcW w:w="1786"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教学项目</w:t>
            </w:r>
          </w:p>
        </w:tc>
        <w:tc>
          <w:tcPr>
            <w:tcW w:w="369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教学内容与教学要求</w:t>
            </w:r>
          </w:p>
        </w:tc>
        <w:tc>
          <w:tcPr>
            <w:tcW w:w="198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教学活动设计建议</w:t>
            </w:r>
          </w:p>
        </w:tc>
        <w:tc>
          <w:tcPr>
            <w:tcW w:w="1260"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17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项目一</w:t>
            </w:r>
          </w:p>
          <w:p>
            <w:pPr>
              <w:widowControl/>
              <w:kinsoku w:val="0"/>
              <w:autoSpaceDE w:val="0"/>
              <w:autoSpaceDN w:val="0"/>
              <w:adjustRightInd w:val="0"/>
              <w:snapToGrid w:val="0"/>
              <w:spacing w:line="360" w:lineRule="exact"/>
              <w:jc w:val="center"/>
              <w:textAlignment w:val="baseline"/>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管理概述</w:t>
            </w:r>
          </w:p>
        </w:tc>
        <w:tc>
          <w:tcPr>
            <w:tcW w:w="369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教学内容：</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1.了解物流和物流信息的概念；</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2.理解物流信息的作用；</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3.理解物流信息管理及其管理；</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4.能识别、制作条码频信息；</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5.能存取、打印条码信息；</w:t>
            </w:r>
          </w:p>
          <w:p>
            <w:pPr>
              <w:keepNext w:val="0"/>
              <w:keepLines w:val="0"/>
              <w:pageBreakBefore w:val="0"/>
              <w:widowControl/>
              <w:tabs>
                <w:tab w:val="left" w:pos="312"/>
              </w:tabs>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6.了解GPS技术、GIS技术。</w:t>
            </w:r>
          </w:p>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1.能识别GPS技术、GIS技术；</w:t>
            </w:r>
          </w:p>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2.说出物流信息的作用；</w:t>
            </w:r>
          </w:p>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3.了解物流信息管理及其管理。</w:t>
            </w:r>
          </w:p>
        </w:tc>
        <w:tc>
          <w:tcPr>
            <w:tcW w:w="198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实训：物流条码在货物入库中的应用。</w:t>
            </w:r>
          </w:p>
        </w:tc>
        <w:tc>
          <w:tcPr>
            <w:tcW w:w="12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17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项目二</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运输信息管理</w:t>
            </w:r>
          </w:p>
        </w:tc>
        <w:tc>
          <w:tcPr>
            <w:tcW w:w="369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1.了解运输信息管理业务流程及功能模块；</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2.了解基本资料管理；</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3.理解基本业务；</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4.使用运输信息管理软件。</w:t>
            </w: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1.学会基本资料管理；</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2.掌握基本业务；</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3.认识运输信息管理软件。</w:t>
            </w:r>
          </w:p>
        </w:tc>
        <w:tc>
          <w:tcPr>
            <w:tcW w:w="198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实训：运输信息处理与分析实训。</w:t>
            </w:r>
          </w:p>
        </w:tc>
        <w:tc>
          <w:tcPr>
            <w:tcW w:w="12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7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项目三</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仓储信息管理</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p>
        </w:tc>
        <w:tc>
          <w:tcPr>
            <w:tcW w:w="369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8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1.了解仓储信息管理业务流程及功能模块；</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2.了解基本资料管理；</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3.理解基本业务管理；</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4.对仓储信管理系统进行操作。</w:t>
            </w:r>
          </w:p>
          <w:p>
            <w:pPr>
              <w:widowControl/>
              <w:kinsoku w:val="0"/>
              <w:autoSpaceDE w:val="0"/>
              <w:autoSpaceDN w:val="0"/>
              <w:adjustRightInd w:val="0"/>
              <w:snapToGrid w:val="0"/>
              <w:spacing w:line="38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1.能熟练背诵基本业务；</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2.学会基本资料管理；</w:t>
            </w:r>
          </w:p>
          <w:p>
            <w:pPr>
              <w:widowControl/>
              <w:kinsoku w:val="0"/>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3.认识仓储信管理系统进行操作。</w:t>
            </w:r>
          </w:p>
        </w:tc>
        <w:tc>
          <w:tcPr>
            <w:tcW w:w="198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8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实训:仓储信息管理实训。</w:t>
            </w:r>
          </w:p>
        </w:tc>
        <w:tc>
          <w:tcPr>
            <w:tcW w:w="126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7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项目四</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配送信息管理</w:t>
            </w:r>
          </w:p>
        </w:tc>
        <w:tc>
          <w:tcPr>
            <w:tcW w:w="369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1.了解配送信息管理业务流程及功能模块；</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2.了解基本资料管理；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3.理解基本业务管理；</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4.操作配送信息管理系统。</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1.能识别作配送信息管理系统；</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2.掌握配送信息管理业务流程及功能模块；</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lang w:bidi="ar"/>
              </w:rPr>
              <w:t>3.理解基本资料。</w:t>
            </w:r>
          </w:p>
        </w:tc>
        <w:tc>
          <w:tcPr>
            <w:tcW w:w="198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实训：订单信息处理与操作实训。</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line="38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1786"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b/>
                <w:bCs/>
                <w:kern w:val="0"/>
                <w:szCs w:val="21"/>
                <w:lang w:bidi="ar"/>
              </w:rPr>
              <w:t>项目五</w:t>
            </w:r>
          </w:p>
          <w:p>
            <w:pPr>
              <w:widowControl/>
              <w:kinsoku w:val="0"/>
              <w:autoSpaceDE w:val="0"/>
              <w:autoSpaceDN w:val="0"/>
              <w:adjustRightInd w:val="0"/>
              <w:snapToGrid w:val="0"/>
              <w:spacing w:line="36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物流信息的采集</w:t>
            </w:r>
          </w:p>
        </w:tc>
        <w:tc>
          <w:tcPr>
            <w:tcW w:w="3690" w:type="dxa"/>
            <w:tcBorders>
              <w:top w:val="single" w:color="auto" w:sz="4" w:space="0"/>
              <w:left w:val="nil"/>
              <w:bottom w:val="single" w:color="auto" w:sz="4" w:space="0"/>
              <w:right w:val="single" w:color="auto" w:sz="4" w:space="0"/>
            </w:tcBorders>
            <w:vAlign w:val="center"/>
          </w:tcPr>
          <w:p>
            <w:pPr>
              <w:widowControl/>
              <w:kinsoku w:val="0"/>
              <w:autoSpaceDE w:val="0"/>
              <w:autoSpaceDN w:val="0"/>
              <w:adjustRightInd w:val="0"/>
              <w:snapToGrid w:val="0"/>
              <w:spacing w:line="360" w:lineRule="exact"/>
              <w:jc w:val="left"/>
              <w:textAlignment w:val="baseline"/>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bidi="ar"/>
              </w:rPr>
              <w:t>教学内容：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1.理解物流信息采集原则；</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2.了解物流信息采集内容；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3.能根据采集原则合理选取采物流信息的集内容；</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4.掌握物流信息采集方法与流程；</w:t>
            </w:r>
          </w:p>
          <w:p>
            <w:pPr>
              <w:widowControl/>
              <w:tabs>
                <w:tab w:val="left" w:pos="312"/>
              </w:tabs>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5.能够针对不同情境，合理选择采集方法，进行信息采集。</w:t>
            </w:r>
          </w:p>
          <w:p>
            <w:pPr>
              <w:widowControl/>
              <w:kinsoku w:val="0"/>
              <w:autoSpaceDE w:val="0"/>
              <w:autoSpaceDN w:val="0"/>
              <w:adjustRightInd w:val="0"/>
              <w:snapToGrid w:val="0"/>
              <w:spacing w:line="360" w:lineRule="exact"/>
              <w:textAlignment w:val="baseline"/>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教学要求：</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1.学会物流信息采集方法与流程；</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2.掌握物流信息采集原则；</w:t>
            </w:r>
          </w:p>
          <w:p>
            <w:pPr>
              <w:widowControl/>
              <w:kinsoku w:val="0"/>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3.理解物流信息采集内容。</w:t>
            </w:r>
          </w:p>
        </w:tc>
        <w:tc>
          <w:tcPr>
            <w:tcW w:w="1980"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exact"/>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实训:物流信息采集方法实训。</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（1）坚持正确的育人理念，充分挖掘本课程思政元素，积极组织课程思政教育，养成正确的汽车服务与维修从业人员职业道德意识，将立德树人贯穿于课程实施全过程。</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的特点是其相关知识和技能贯穿于物流作业全过程，融入运输、采购、仓储和配送各个环节中，因此它对于提高物流经济效益、优化和完善物流系统、降低物流成本具有举足轻重的作用。本课程的设计思路是：以工学结合、校企合作为指导，通过校企深度合作，从物流各环节典型工作任务分析人手，确定能力目标、知识体系和素质要求。以相应岗位能力培养为主线，以实际物流业务为载体，强化教、学、做合一；以可持续发展和岗位迁移为目标，构建知识体系；以物流人员职业道德、职业素养养成教育为核心，设计拓展训练；以物流企业真实的任务或项目为载体，设计教学情境，构建单元教学内容。</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（1）配备本课程必备的练习册和技术资料，参照技能实训室实训设备配备标准配齐必备的教学设备和实验、实训器材，定期向学生开放，充分提高设备利用率。</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（2）注重企业生产实践现场的作用，安排物流大赛车间的参观学习，熟悉设备的使用，增强学生的感性认识。</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（1）教材编写以本课程标准为基本要求，编写时应将物流信息基础技术的基本原理与生产生活中的实际应用相结合，注重实践技能的培养，注意反映物流领域的新知识、新技术、新工艺和新材料。</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N/>
        <w:bidi w:val="0"/>
        <w:adjustRightInd w:val="0"/>
        <w:snapToGrid w:val="0"/>
        <w:spacing w:line="52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5.授课进程建议表系统</w:t>
      </w:r>
    </w:p>
    <w:tbl>
      <w:tblPr>
        <w:tblStyle w:val="4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930"/>
        <w:gridCol w:w="1350"/>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05"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周次</w:t>
            </w:r>
          </w:p>
        </w:tc>
        <w:tc>
          <w:tcPr>
            <w:tcW w:w="3930"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教学任务</w:t>
            </w:r>
          </w:p>
        </w:tc>
        <w:tc>
          <w:tcPr>
            <w:tcW w:w="1350"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授课时数</w:t>
            </w:r>
          </w:p>
        </w:tc>
        <w:tc>
          <w:tcPr>
            <w:tcW w:w="2437" w:type="dxa"/>
            <w:vAlign w:val="center"/>
          </w:tcPr>
          <w:p>
            <w:pPr>
              <w:widowControl/>
              <w:kinsoku w:val="0"/>
              <w:autoSpaceDE w:val="0"/>
              <w:autoSpaceDN w:val="0"/>
              <w:adjustRightInd w:val="0"/>
              <w:snapToGrid w:val="0"/>
              <w:spacing w:line="420" w:lineRule="exact"/>
              <w:jc w:val="center"/>
              <w:textAlignment w:val="baseline"/>
              <w:rPr>
                <w:rFonts w:ascii="黑体" w:hAnsi="黑体" w:eastAsia="黑体" w:cs="黑体"/>
                <w:kern w:val="0"/>
                <w:sz w:val="21"/>
                <w:szCs w:val="21"/>
                <w:lang w:bidi="ar"/>
              </w:rPr>
            </w:pPr>
            <w:r>
              <w:rPr>
                <w:rFonts w:hint="eastAsia" w:ascii="黑体" w:hAnsi="黑体" w:eastAsia="黑体" w:cs="黑体"/>
                <w:kern w:val="0"/>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物流和物流信息的概念</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物流信息采集方法与流程</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物流信息采集内容</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学生试验，教学演示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物流信息采集原则</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学生试验，分组教学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操作配送信息管理系统</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基本资料管理</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基本业务管理</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学生试验，分组教学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基本业务</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9</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基本资料管理</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学生试验，教学演示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10</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运输信息管理软件</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11</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GPS技术、GIS技术</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学生试验，分组教学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12</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存取、打印条码信息</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识别、制作条码频信息</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分组教学，学生试验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14</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物流信息管理及其管理</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15</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物流信息的作用</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学生试验，分组教学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16</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合理选择采集方法，进行信息采集</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教学演示，学生试验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17</w:t>
            </w:r>
          </w:p>
        </w:tc>
        <w:tc>
          <w:tcPr>
            <w:tcW w:w="393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仓储信管理系统进行操作</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学生试验，分组教学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5"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w:t>
            </w:r>
          </w:p>
        </w:tc>
        <w:tc>
          <w:tcPr>
            <w:tcW w:w="3930" w:type="dxa"/>
            <w:vAlign w:val="center"/>
          </w:tcPr>
          <w:p>
            <w:pPr>
              <w:widowControl/>
              <w:kinsoku w:val="0"/>
              <w:autoSpaceDE w:val="0"/>
              <w:autoSpaceDN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配送信息管理业务流程及功能模块</w:t>
            </w:r>
          </w:p>
        </w:tc>
        <w:tc>
          <w:tcPr>
            <w:tcW w:w="1350"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2437" w:type="dxa"/>
            <w:vAlign w:val="center"/>
          </w:tcPr>
          <w:p>
            <w:pPr>
              <w:autoSpaceDE w:val="0"/>
              <w:adjustRightInd w:val="0"/>
              <w:snapToGrid w:val="0"/>
              <w:spacing w:line="240" w:lineRule="exact"/>
              <w:jc w:val="center"/>
              <w:textAlignment w:val="baseline"/>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分组教学，教学演示</w:t>
            </w:r>
          </w:p>
        </w:tc>
      </w:tr>
    </w:tbl>
    <w:p>
      <w:pPr>
        <w:snapToGrid w:val="0"/>
        <w:spacing w:before="120" w:beforeLines="50" w:after="120" w:afterLines="50" w:line="580" w:lineRule="exact"/>
        <w:jc w:val="center"/>
        <w:rPr>
          <w:rFonts w:ascii="方正小标宋_GBK" w:hAnsi="宋体" w:eastAsia="方正小标宋_GBK"/>
          <w:sz w:val="32"/>
          <w:szCs w:val="32"/>
        </w:rPr>
      </w:pPr>
    </w:p>
    <w:p>
      <w:pPr>
        <w:widowControl/>
        <w:jc w:val="left"/>
        <w:rPr>
          <w:rFonts w:ascii="方正小标宋_GBK" w:hAnsi="宋体" w:eastAsia="方正小标宋_GBK"/>
          <w:sz w:val="32"/>
          <w:szCs w:val="32"/>
        </w:rPr>
      </w:pPr>
      <w:r>
        <w:rPr>
          <w:rFonts w:ascii="方正小标宋_GBK" w:hAnsi="宋体" w:eastAsia="方正小标宋_GBK"/>
          <w:sz w:val="32"/>
          <w:szCs w:val="32"/>
        </w:rPr>
        <w:br w:type="page"/>
      </w:r>
    </w:p>
    <w:p>
      <w:pPr>
        <w:widowControl/>
        <w:jc w:val="left"/>
        <w:rPr>
          <w:rFonts w:ascii="方正小标宋_GBK" w:hAnsi="宋体" w:eastAsia="方正小标宋_GBK"/>
          <w:sz w:val="32"/>
          <w:szCs w:val="32"/>
        </w:rPr>
        <w:sectPr>
          <w:pgSz w:w="11906" w:h="16838"/>
          <w:pgMar w:top="2041" w:right="1531" w:bottom="1985" w:left="1531" w:header="0" w:footer="1136" w:gutter="0"/>
          <w:pgNumType w:fmt="numberInDash"/>
          <w:cols w:space="720" w:num="1"/>
          <w:docGrid w:linePitch="286" w:charSpace="0"/>
        </w:sectPr>
      </w:pPr>
    </w:p>
    <w:p>
      <w:pPr>
        <w:keepNext w:val="0"/>
        <w:keepLines w:val="0"/>
        <w:pageBreakBefore w:val="0"/>
        <w:widowControl w:val="0"/>
        <w:shd w:val="clear"/>
        <w:kinsoku/>
        <w:wordWrap/>
        <w:overflowPunct/>
        <w:topLinePunct w:val="0"/>
        <w:autoSpaceDE/>
        <w:autoSpaceDN/>
        <w:bidi w:val="0"/>
        <w:adjustRightInd/>
        <w:snapToGrid/>
        <w:spacing w:line="214" w:lineRule="auto"/>
        <w:jc w:val="center"/>
        <w:textAlignment w:val="auto"/>
        <w:rPr>
          <w:rFonts w:ascii="方正小标宋_GBK" w:hAnsi="宋体" w:eastAsia="方正小标宋_GBK"/>
          <w:color w:val="auto"/>
          <w:sz w:val="32"/>
          <w:szCs w:val="32"/>
          <w:highlight w:val="none"/>
        </w:rPr>
      </w:pPr>
      <w:r>
        <w:rPr>
          <w:rFonts w:hint="eastAsia" w:ascii="方正小标宋_GBK" w:hAnsi="宋体" w:eastAsia="方正小标宋_GBK"/>
          <w:color w:val="auto"/>
          <w:sz w:val="32"/>
          <w:szCs w:val="32"/>
          <w:highlight w:val="none"/>
        </w:rPr>
        <w:t>网店运营课程标准</w:t>
      </w:r>
    </w:p>
    <w:p>
      <w:pPr>
        <w:widowControl/>
        <w:spacing w:line="560" w:lineRule="exact"/>
        <w:ind w:firstLine="640" w:firstLineChars="200"/>
        <w:jc w:val="left"/>
        <w:rPr>
          <w:rFonts w:ascii="楷体_GB2312" w:hAnsi="楷体_GB2312" w:eastAsia="楷体_GB2312" w:cs="楷体_GB2312"/>
          <w:color w:val="auto"/>
          <w:kern w:val="0"/>
          <w:sz w:val="32"/>
          <w:szCs w:val="32"/>
          <w:shd w:val="clear" w:color="auto" w:fill="FFFFFF"/>
          <w:lang w:bidi="ar"/>
        </w:rPr>
      </w:pPr>
      <w:r>
        <w:rPr>
          <w:rFonts w:hint="eastAsia" w:ascii="楷体_GB2312" w:hAnsi="楷体_GB2312" w:eastAsia="楷体_GB2312" w:cs="楷体_GB2312"/>
          <w:color w:val="auto"/>
          <w:kern w:val="0"/>
          <w:sz w:val="32"/>
          <w:szCs w:val="32"/>
          <w:shd w:val="clear" w:color="auto" w:fill="FFFFFF"/>
          <w:lang w:bidi="ar"/>
        </w:rPr>
        <w:t>（一）课程性质与任务</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本课程是物流服务与管理专业必修的一门专业拓展课程。定位于网店运营助理岗位，主要面向网店装修、网络编辑、网店美工、网店客服等岗位群，完成商品上传与维护、营销活动设置、日常订单管理、首页设计与制作、详情页设计与制作、自定义页设计与制作、客户问题处理、交易促成以及客户关系维护等工作任务，具备开好店的能力。 </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网运营推广培训内容包括网店开设、网店装修、网店基础操作、网店客户服务、运营数据分析 5 个理论模块，9 个单元及配套的多个实训任务。在培训组织形式上，利用虚拟仿真实训软件进行模拟训练，力求做到理论与实践相结合，将知识传授、职业能力培养有机结合起来，巩固和加强对知识的理解，并学以致用。 </w:t>
      </w:r>
    </w:p>
    <w:p>
      <w:pPr>
        <w:widowControl/>
        <w:spacing w:line="560" w:lineRule="exact"/>
        <w:ind w:firstLine="640" w:firstLineChars="200"/>
        <w:jc w:val="left"/>
        <w:rPr>
          <w:rFonts w:ascii="楷体_GB2312" w:hAnsi="楷体_GB2312" w:eastAsia="楷体_GB2312" w:cs="楷体_GB2312"/>
          <w:color w:val="auto"/>
          <w:kern w:val="0"/>
          <w:sz w:val="32"/>
          <w:szCs w:val="32"/>
          <w:shd w:val="clear" w:color="auto" w:fill="FFFFFF"/>
          <w:lang w:bidi="ar"/>
        </w:rPr>
      </w:pPr>
      <w:r>
        <w:rPr>
          <w:rFonts w:hint="eastAsia" w:ascii="楷体_GB2312" w:hAnsi="楷体_GB2312" w:eastAsia="楷体_GB2312" w:cs="楷体_GB2312"/>
          <w:color w:val="auto"/>
          <w:kern w:val="0"/>
          <w:sz w:val="32"/>
          <w:szCs w:val="32"/>
          <w:shd w:val="clear" w:color="auto" w:fill="FFFFFF"/>
          <w:lang w:bidi="ar"/>
        </w:rPr>
        <w:t>（二）课程教学目标</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1.素质目标</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（1）通过小组合作，培养学生的团队协作能力、社会责任心、诚信的品德；</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（2）通过课堂讨论活动，培养学生人际交流和沟通能力；</w:t>
      </w:r>
      <w:r>
        <w:rPr>
          <w:rFonts w:ascii="Calibri" w:hAnsi="Calibri" w:eastAsia="仿宋_GB2312" w:cs="Calibri"/>
          <w:color w:val="auto"/>
          <w:sz w:val="32"/>
          <w:szCs w:val="32"/>
        </w:rPr>
        <w:t>  </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（3）通过头脑风暴活动，提高学生解决问题和创新能力；</w:t>
      </w:r>
      <w:r>
        <w:rPr>
          <w:rFonts w:ascii="Calibri" w:hAnsi="Calibri" w:eastAsia="仿宋_GB2312" w:cs="Calibri"/>
          <w:color w:val="auto"/>
          <w:sz w:val="32"/>
          <w:szCs w:val="32"/>
        </w:rPr>
        <w:t>  </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（4）通过网店运营分析，培养学生吃苦耐劳、勤劳工作的敬业精神、职业素养和工匠精神。</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2.知识目标</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（1）让学生掌握网店装修、网络编辑、网店美工、网店客服等岗位群；</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（2）让学生掌握商品上传与维护、营销活动设置、日常订单管理；</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（3）让学生掌握首页设计与制作、详情页设计与制作、自定义页设计与制作；</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（4）让学生掌握客户问题处理、交易促成以及客户关系维护等业务操作能力。</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3.能力目标</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（1）能掌握网店运营的概念和特征、发展情况、政策和意义等主要内容；</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（2）能选择电商平台，顺利开通电商店铺账号；</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（3）能深入分析市场发展情况；</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（4）能独立完成电商选品及产品发布工作；</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（5）能装修店铺；</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（6）能通过合适的方法在平台内进行推广；</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（7）能及时处理订单、提升客户体验感和满意度；</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（8）能熟练设计物流方案、合理选择物流方式；</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（9）能及时处理争议订单，维护老客户、开发新客户。</w:t>
      </w:r>
    </w:p>
    <w:p>
      <w:pPr>
        <w:widowControl/>
        <w:spacing w:line="560" w:lineRule="exact"/>
        <w:ind w:firstLine="640" w:firstLineChars="200"/>
        <w:jc w:val="left"/>
        <w:rPr>
          <w:rFonts w:ascii="楷体_GB2312" w:hAnsi="楷体_GB2312" w:eastAsia="楷体_GB2312" w:cs="楷体_GB2312"/>
          <w:color w:val="auto"/>
          <w:kern w:val="0"/>
          <w:sz w:val="32"/>
          <w:szCs w:val="32"/>
          <w:shd w:val="clear" w:color="auto" w:fill="FFFFFF"/>
          <w:lang w:bidi="ar"/>
        </w:rPr>
      </w:pPr>
      <w:r>
        <w:rPr>
          <w:rFonts w:hint="eastAsia" w:ascii="楷体_GB2312" w:hAnsi="楷体_GB2312" w:eastAsia="楷体_GB2312" w:cs="楷体_GB2312"/>
          <w:color w:val="auto"/>
          <w:kern w:val="0"/>
          <w:sz w:val="32"/>
          <w:szCs w:val="32"/>
          <w:shd w:val="clear" w:color="auto" w:fill="FFFFFF"/>
          <w:lang w:bidi="ar"/>
        </w:rPr>
        <w:t>（三）参考学时</w:t>
      </w:r>
    </w:p>
    <w:p>
      <w:pPr>
        <w:adjustRightInd w:val="0"/>
        <w:snapToGrid w:val="0"/>
        <w:spacing w:line="560" w:lineRule="exact"/>
        <w:ind w:firstLine="960" w:firstLineChars="3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54学时</w:t>
      </w:r>
    </w:p>
    <w:p>
      <w:pPr>
        <w:widowControl/>
        <w:spacing w:line="560" w:lineRule="exact"/>
        <w:ind w:firstLine="640" w:firstLineChars="200"/>
        <w:jc w:val="left"/>
        <w:rPr>
          <w:rFonts w:ascii="楷体_GB2312" w:hAnsi="楷体_GB2312" w:eastAsia="楷体_GB2312" w:cs="楷体_GB2312"/>
          <w:color w:val="auto"/>
          <w:kern w:val="0"/>
          <w:sz w:val="32"/>
          <w:szCs w:val="32"/>
          <w:shd w:val="clear" w:color="auto" w:fill="FFFFFF"/>
          <w:lang w:bidi="ar"/>
        </w:rPr>
      </w:pPr>
      <w:r>
        <w:rPr>
          <w:rFonts w:hint="eastAsia" w:ascii="楷体_GB2312" w:hAnsi="楷体_GB2312" w:eastAsia="楷体_GB2312" w:cs="楷体_GB2312"/>
          <w:color w:val="auto"/>
          <w:kern w:val="0"/>
          <w:sz w:val="32"/>
          <w:szCs w:val="32"/>
          <w:shd w:val="clear" w:color="auto" w:fill="FFFFFF"/>
          <w:lang w:bidi="ar"/>
        </w:rPr>
        <w:t>（四）课程学分</w:t>
      </w:r>
    </w:p>
    <w:p>
      <w:pPr>
        <w:adjustRightInd w:val="0"/>
        <w:snapToGrid w:val="0"/>
        <w:spacing w:line="560" w:lineRule="exact"/>
        <w:ind w:firstLine="960" w:firstLineChars="3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3学分</w:t>
      </w:r>
    </w:p>
    <w:p>
      <w:pPr>
        <w:widowControl/>
        <w:spacing w:line="560" w:lineRule="exact"/>
        <w:ind w:firstLine="640" w:firstLineChars="200"/>
        <w:jc w:val="left"/>
        <w:rPr>
          <w:rFonts w:ascii="楷体_GB2312" w:hAnsi="楷体_GB2312" w:eastAsia="楷体_GB2312" w:cs="楷体_GB2312"/>
          <w:color w:val="auto"/>
          <w:kern w:val="0"/>
          <w:sz w:val="32"/>
          <w:szCs w:val="32"/>
          <w:shd w:val="clear" w:color="auto" w:fill="FFFFFF"/>
          <w:lang w:bidi="ar"/>
        </w:rPr>
      </w:pPr>
      <w:r>
        <w:rPr>
          <w:rFonts w:hint="eastAsia" w:ascii="楷体_GB2312" w:hAnsi="楷体_GB2312" w:eastAsia="楷体_GB2312" w:cs="楷体_GB2312"/>
          <w:color w:val="auto"/>
          <w:kern w:val="0"/>
          <w:sz w:val="32"/>
          <w:szCs w:val="32"/>
          <w:shd w:val="clear" w:color="auto" w:fill="FFFFFF"/>
          <w:lang w:bidi="ar"/>
        </w:rPr>
        <w:t>（五）课程内容和要求</w:t>
      </w:r>
    </w:p>
    <w:p>
      <w:pPr>
        <w:adjustRightInd w:val="0"/>
        <w:snapToGrid w:val="0"/>
        <w:spacing w:line="440" w:lineRule="exact"/>
        <w:jc w:val="center"/>
        <w:rPr>
          <w:rFonts w:ascii="黑体" w:hAnsi="黑体" w:eastAsia="黑体" w:cs="仿宋_GB2312"/>
          <w:color w:val="auto"/>
          <w:sz w:val="24"/>
        </w:rPr>
      </w:pPr>
      <w:r>
        <w:rPr>
          <w:rFonts w:hint="eastAsia" w:ascii="黑体" w:hAnsi="黑体" w:eastAsia="黑体" w:cs="仿宋_GB2312"/>
          <w:color w:val="auto"/>
          <w:sz w:val="24"/>
        </w:rPr>
        <w:t>课程内容设计表</w:t>
      </w:r>
    </w:p>
    <w:tbl>
      <w:tblPr>
        <w:tblStyle w:val="22"/>
        <w:tblW w:w="90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162"/>
        <w:gridCol w:w="3407"/>
        <w:gridCol w:w="3000"/>
        <w:gridCol w:w="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70" w:type="dxa"/>
            <w:vAlign w:val="center"/>
          </w:tcPr>
          <w:p>
            <w:pPr>
              <w:adjustRightInd w:val="0"/>
              <w:spacing w:line="440" w:lineRule="exact"/>
              <w:jc w:val="center"/>
              <w:rPr>
                <w:rFonts w:ascii="黑体" w:hAnsi="黑体" w:eastAsia="黑体"/>
                <w:color w:val="auto"/>
                <w:kern w:val="0"/>
                <w:sz w:val="20"/>
                <w:szCs w:val="21"/>
              </w:rPr>
            </w:pPr>
            <w:r>
              <w:rPr>
                <w:rFonts w:hint="eastAsia" w:ascii="黑体" w:hAnsi="黑体" w:eastAsia="黑体"/>
                <w:color w:val="auto"/>
                <w:kern w:val="0"/>
                <w:sz w:val="20"/>
                <w:szCs w:val="21"/>
              </w:rPr>
              <w:t>序号</w:t>
            </w:r>
          </w:p>
        </w:tc>
        <w:tc>
          <w:tcPr>
            <w:tcW w:w="1162" w:type="dxa"/>
            <w:vAlign w:val="center"/>
          </w:tcPr>
          <w:p>
            <w:pPr>
              <w:adjustRightInd w:val="0"/>
              <w:spacing w:line="440" w:lineRule="exact"/>
              <w:jc w:val="center"/>
              <w:rPr>
                <w:rFonts w:ascii="黑体" w:hAnsi="黑体" w:eastAsia="黑体"/>
                <w:color w:val="auto"/>
                <w:kern w:val="0"/>
                <w:sz w:val="20"/>
                <w:szCs w:val="21"/>
              </w:rPr>
            </w:pPr>
            <w:r>
              <w:rPr>
                <w:rFonts w:hint="eastAsia" w:ascii="黑体" w:hAnsi="黑体" w:eastAsia="黑体"/>
                <w:color w:val="auto"/>
                <w:kern w:val="0"/>
                <w:sz w:val="20"/>
                <w:szCs w:val="21"/>
              </w:rPr>
              <w:t>教学项目</w:t>
            </w:r>
          </w:p>
        </w:tc>
        <w:tc>
          <w:tcPr>
            <w:tcW w:w="3407" w:type="dxa"/>
            <w:vAlign w:val="center"/>
          </w:tcPr>
          <w:p>
            <w:pPr>
              <w:adjustRightInd w:val="0"/>
              <w:spacing w:line="440" w:lineRule="exact"/>
              <w:jc w:val="center"/>
              <w:rPr>
                <w:rFonts w:ascii="黑体" w:hAnsi="黑体" w:eastAsia="黑体"/>
                <w:color w:val="auto"/>
                <w:kern w:val="0"/>
                <w:sz w:val="20"/>
                <w:szCs w:val="21"/>
              </w:rPr>
            </w:pPr>
            <w:r>
              <w:rPr>
                <w:rFonts w:hint="eastAsia" w:ascii="黑体" w:hAnsi="黑体" w:eastAsia="黑体"/>
                <w:color w:val="auto"/>
                <w:kern w:val="0"/>
                <w:sz w:val="20"/>
                <w:szCs w:val="21"/>
              </w:rPr>
              <w:t>教学内容与教学要求</w:t>
            </w:r>
          </w:p>
        </w:tc>
        <w:tc>
          <w:tcPr>
            <w:tcW w:w="3000" w:type="dxa"/>
            <w:vAlign w:val="center"/>
          </w:tcPr>
          <w:p>
            <w:pPr>
              <w:adjustRightInd w:val="0"/>
              <w:spacing w:line="440" w:lineRule="exact"/>
              <w:jc w:val="center"/>
              <w:rPr>
                <w:rFonts w:ascii="黑体" w:hAnsi="黑体" w:eastAsia="黑体"/>
                <w:color w:val="auto"/>
                <w:kern w:val="0"/>
                <w:sz w:val="20"/>
                <w:szCs w:val="21"/>
              </w:rPr>
            </w:pPr>
            <w:r>
              <w:rPr>
                <w:rFonts w:hint="eastAsia" w:ascii="黑体" w:hAnsi="黑体" w:eastAsia="黑体"/>
                <w:color w:val="auto"/>
                <w:kern w:val="0"/>
                <w:sz w:val="20"/>
                <w:szCs w:val="21"/>
              </w:rPr>
              <w:t>教学活动设计建议</w:t>
            </w:r>
          </w:p>
        </w:tc>
        <w:tc>
          <w:tcPr>
            <w:tcW w:w="837" w:type="dxa"/>
            <w:vAlign w:val="center"/>
          </w:tcPr>
          <w:p>
            <w:pPr>
              <w:adjustRightInd w:val="0"/>
              <w:spacing w:line="440" w:lineRule="exact"/>
              <w:jc w:val="center"/>
              <w:rPr>
                <w:rFonts w:ascii="黑体" w:hAnsi="黑体" w:eastAsia="黑体"/>
                <w:color w:val="auto"/>
                <w:kern w:val="0"/>
                <w:sz w:val="20"/>
                <w:szCs w:val="21"/>
              </w:rPr>
            </w:pPr>
            <w:r>
              <w:rPr>
                <w:rFonts w:hint="eastAsia" w:ascii="黑体" w:hAnsi="黑体" w:eastAsia="黑体"/>
                <w:color w:val="auto"/>
                <w:kern w:val="0"/>
                <w:sz w:val="20"/>
                <w:szCs w:val="21"/>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1</w:t>
            </w:r>
          </w:p>
        </w:tc>
        <w:tc>
          <w:tcPr>
            <w:tcW w:w="1162"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 xml:space="preserve">模块一 </w:t>
            </w:r>
          </w:p>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网店开设</w:t>
            </w:r>
          </w:p>
        </w:tc>
        <w:tc>
          <w:tcPr>
            <w:tcW w:w="3407"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1</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网店开设准备</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2</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网店申请与开通</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3</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电子商务法律法规。</w:t>
            </w:r>
          </w:p>
        </w:tc>
        <w:tc>
          <w:tcPr>
            <w:tcW w:w="3000"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课堂训练与案例分析相结合；讲授与课堂讨论相结合。</w:t>
            </w:r>
          </w:p>
        </w:tc>
        <w:tc>
          <w:tcPr>
            <w:tcW w:w="837"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4"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2</w:t>
            </w:r>
          </w:p>
        </w:tc>
        <w:tc>
          <w:tcPr>
            <w:tcW w:w="1162"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 xml:space="preserve">模块二 </w:t>
            </w:r>
          </w:p>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网店装修</w:t>
            </w:r>
          </w:p>
        </w:tc>
        <w:tc>
          <w:tcPr>
            <w:tcW w:w="3407"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1</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能够根据店铺的定位和目标群体</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2</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完成店铺首页风格的设计</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ascii="仿宋_GB2312" w:hAnsi="仿宋_GB2312" w:eastAsia="仿宋_GB2312" w:cs="仿宋_GB2312"/>
                <w:color w:val="auto"/>
                <w:kern w:val="0"/>
                <w:szCs w:val="21"/>
              </w:rPr>
              <w:t>3.</w:t>
            </w:r>
            <w:r>
              <w:rPr>
                <w:rFonts w:hint="eastAsia" w:ascii="仿宋_GB2312" w:hAnsi="仿宋_GB2312" w:eastAsia="仿宋_GB2312" w:cs="仿宋_GB2312"/>
                <w:color w:val="auto"/>
                <w:kern w:val="0"/>
                <w:szCs w:val="21"/>
              </w:rPr>
              <w:t>Logo的制作</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ascii="仿宋_GB2312" w:hAnsi="仿宋_GB2312" w:eastAsia="仿宋_GB2312" w:cs="仿宋_GB2312"/>
                <w:color w:val="auto"/>
                <w:kern w:val="0"/>
                <w:szCs w:val="21"/>
              </w:rPr>
              <w:t>4.</w:t>
            </w:r>
            <w:r>
              <w:rPr>
                <w:rFonts w:hint="eastAsia" w:ascii="仿宋_GB2312" w:hAnsi="仿宋_GB2312" w:eastAsia="仿宋_GB2312" w:cs="仿宋_GB2312"/>
                <w:color w:val="auto"/>
                <w:kern w:val="0"/>
                <w:szCs w:val="21"/>
              </w:rPr>
              <w:t>Banner的制作</w:t>
            </w:r>
          </w:p>
        </w:tc>
        <w:tc>
          <w:tcPr>
            <w:tcW w:w="3000"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设置真实案例，小组模拟实训，课堂训练与案例分析相结合。</w:t>
            </w:r>
          </w:p>
        </w:tc>
        <w:tc>
          <w:tcPr>
            <w:tcW w:w="837"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3</w:t>
            </w:r>
          </w:p>
        </w:tc>
        <w:tc>
          <w:tcPr>
            <w:tcW w:w="1162"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 xml:space="preserve">模块三 </w:t>
            </w:r>
          </w:p>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网店基础</w:t>
            </w:r>
          </w:p>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操作</w:t>
            </w:r>
          </w:p>
        </w:tc>
        <w:tc>
          <w:tcPr>
            <w:tcW w:w="3407"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1</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商品上传与维护</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2</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营销活动设置</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3</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日常订单管理</w:t>
            </w:r>
          </w:p>
        </w:tc>
        <w:tc>
          <w:tcPr>
            <w:tcW w:w="3000"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设置真实案例，小组模拟实训，课堂训练与案例分析相结合。</w:t>
            </w:r>
          </w:p>
        </w:tc>
        <w:tc>
          <w:tcPr>
            <w:tcW w:w="837"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4</w:t>
            </w:r>
          </w:p>
        </w:tc>
        <w:tc>
          <w:tcPr>
            <w:tcW w:w="1162"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 xml:space="preserve">模块四 </w:t>
            </w:r>
          </w:p>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网店客户</w:t>
            </w:r>
          </w:p>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服务</w:t>
            </w:r>
          </w:p>
        </w:tc>
        <w:tc>
          <w:tcPr>
            <w:tcW w:w="3407"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1</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客户交易促成</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2</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客户问题处理</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3</w:t>
            </w:r>
            <w:r>
              <w:rPr>
                <w:rFonts w:ascii="仿宋_GB2312" w:hAnsi="仿宋_GB2312" w:eastAsia="仿宋_GB2312" w:cs="仿宋_GB2312"/>
                <w:color w:val="auto"/>
                <w:kern w:val="0"/>
                <w:szCs w:val="21"/>
              </w:rPr>
              <w:t>.</w:t>
            </w:r>
            <w:r>
              <w:rPr>
                <w:rFonts w:hint="eastAsia" w:ascii="仿宋_GB2312" w:hAnsi="仿宋_GB2312" w:eastAsia="仿宋_GB2312" w:cs="仿宋_GB2312"/>
                <w:color w:val="auto"/>
                <w:kern w:val="0"/>
                <w:szCs w:val="21"/>
              </w:rPr>
              <w:t>客户关系维护</w:t>
            </w:r>
          </w:p>
        </w:tc>
        <w:tc>
          <w:tcPr>
            <w:tcW w:w="3000"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设置真实案例，小组模拟实训，课堂训练与案例分析相结合。</w:t>
            </w:r>
          </w:p>
        </w:tc>
        <w:tc>
          <w:tcPr>
            <w:tcW w:w="837"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5</w:t>
            </w:r>
          </w:p>
        </w:tc>
        <w:tc>
          <w:tcPr>
            <w:tcW w:w="1162"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 xml:space="preserve">模块五 </w:t>
            </w:r>
          </w:p>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运营数据</w:t>
            </w:r>
          </w:p>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分析</w:t>
            </w:r>
          </w:p>
        </w:tc>
        <w:tc>
          <w:tcPr>
            <w:tcW w:w="3407"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1</w:t>
            </w:r>
            <w:r>
              <w:rPr>
                <w:rFonts w:ascii="仿宋_GB2312" w:hAnsi="仿宋_GB2312" w:eastAsia="仿宋_GB2312" w:cs="仿宋_GB2312"/>
                <w:color w:val="auto"/>
                <w:kern w:val="0"/>
                <w:szCs w:val="21"/>
              </w:rPr>
              <w:t>.常用的数据分析工具</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2</w:t>
            </w:r>
            <w:r>
              <w:rPr>
                <w:rFonts w:ascii="仿宋_GB2312" w:hAnsi="仿宋_GB2312" w:eastAsia="仿宋_GB2312" w:cs="仿宋_GB2312"/>
                <w:color w:val="auto"/>
                <w:kern w:val="0"/>
                <w:szCs w:val="21"/>
              </w:rPr>
              <w:t>.客户评价分析</w:t>
            </w:r>
          </w:p>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3</w:t>
            </w:r>
            <w:r>
              <w:rPr>
                <w:rFonts w:ascii="仿宋_GB2312" w:hAnsi="仿宋_GB2312" w:eastAsia="仿宋_GB2312" w:cs="仿宋_GB2312"/>
                <w:color w:val="auto"/>
                <w:kern w:val="0"/>
                <w:szCs w:val="21"/>
              </w:rPr>
              <w:t>.网店运营状况分析</w:t>
            </w:r>
          </w:p>
        </w:tc>
        <w:tc>
          <w:tcPr>
            <w:tcW w:w="3000" w:type="dxa"/>
            <w:vAlign w:val="center"/>
          </w:tcPr>
          <w:p>
            <w:pPr>
              <w:keepNext w:val="0"/>
              <w:keepLines w:val="0"/>
              <w:pageBreakBefore w:val="0"/>
              <w:widowControl w:val="0"/>
              <w:kinsoku/>
              <w:wordWrap/>
              <w:overflowPunct/>
              <w:topLinePunct w:val="0"/>
              <w:bidi w:val="0"/>
              <w:adjustRightInd w:val="0"/>
              <w:snapToGrid/>
              <w:spacing w:line="320" w:lineRule="exact"/>
              <w:ind w:firstLine="210" w:firstLineChars="100"/>
              <w:jc w:val="left"/>
              <w:textAlignment w:val="auto"/>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设置真实案例，小组模拟实训，课堂训练与案例分析相结合。</w:t>
            </w:r>
          </w:p>
        </w:tc>
        <w:tc>
          <w:tcPr>
            <w:tcW w:w="837" w:type="dxa"/>
            <w:vAlign w:val="center"/>
          </w:tcPr>
          <w:p>
            <w:pPr>
              <w:autoSpaceDE w:val="0"/>
              <w:autoSpaceDN w:val="0"/>
              <w:adjustRightInd w:val="0"/>
              <w:spacing w:line="320" w:lineRule="exact"/>
              <w:jc w:val="center"/>
              <w:rPr>
                <w:rFonts w:ascii="仿宋_GB2312" w:hAnsi="仿宋_GB2312" w:eastAsia="仿宋_GB2312" w:cs="仿宋_GB2312"/>
                <w:color w:val="auto"/>
                <w:kern w:val="0"/>
                <w:sz w:val="20"/>
                <w:szCs w:val="21"/>
              </w:rPr>
            </w:pPr>
            <w:r>
              <w:rPr>
                <w:rFonts w:hint="eastAsia" w:ascii="仿宋_GB2312" w:hAnsi="仿宋_GB2312" w:eastAsia="仿宋_GB2312" w:cs="仿宋_GB2312"/>
                <w:color w:val="auto"/>
                <w:kern w:val="0"/>
                <w:szCs w:val="21"/>
              </w:rPr>
              <w:t>8</w:t>
            </w:r>
          </w:p>
        </w:tc>
      </w:tr>
    </w:tbl>
    <w:p>
      <w:pPr>
        <w:widowControl/>
        <w:spacing w:line="560" w:lineRule="exact"/>
        <w:ind w:firstLine="640" w:firstLineChars="200"/>
        <w:jc w:val="left"/>
        <w:rPr>
          <w:rFonts w:hint="eastAsia" w:ascii="楷体" w:hAnsi="楷体" w:eastAsia="楷体" w:cs="楷体"/>
          <w:color w:val="auto"/>
          <w:kern w:val="0"/>
          <w:sz w:val="32"/>
          <w:szCs w:val="32"/>
          <w:shd w:val="clear" w:color="auto" w:fill="FFFFFF"/>
          <w:lang w:bidi="ar"/>
        </w:rPr>
      </w:pPr>
      <w:r>
        <w:rPr>
          <w:rFonts w:hint="eastAsia" w:ascii="楷体" w:hAnsi="楷体" w:eastAsia="楷体" w:cs="楷体"/>
          <w:color w:val="auto"/>
          <w:kern w:val="0"/>
          <w:sz w:val="32"/>
          <w:szCs w:val="32"/>
          <w:shd w:val="clear" w:color="auto" w:fill="FFFFFF"/>
          <w:lang w:bidi="ar"/>
        </w:rPr>
        <w:t>（六）实施建议</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1.教学方法</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直观教学法。利用极域软件，给学生讲解网店运营知识点，演示跨境店铺注册操作、跨境市场分析、跨境选品、产品发布操作、跨境店铺装修操作、跨境店铺推广操作、跨境交易管理操作、收款、跨境物流、售后服务等业务操作能力，让学生动手操作关联知识点，实现做学教一体化。</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任务驱动法。将网店运营开店的细节流程分解为数个任务节点，以任务为</w:t>
      </w:r>
      <w:r>
        <w:rPr>
          <w:rFonts w:ascii="仿宋_GB2312" w:hAnsi="仿宋_GB2312" w:eastAsia="仿宋_GB2312" w:cs="仿宋_GB2312"/>
          <w:color w:val="auto"/>
          <w:sz w:val="32"/>
          <w:szCs w:val="32"/>
        </w:rPr>
        <w:t>中心，在强烈的问题动机的驱动下，通过对</w:t>
      </w:r>
      <w:r>
        <w:rPr>
          <w:rFonts w:hint="eastAsia" w:ascii="仿宋_GB2312" w:hAnsi="仿宋_GB2312" w:eastAsia="仿宋_GB2312" w:cs="仿宋_GB2312"/>
          <w:color w:val="auto"/>
          <w:sz w:val="32"/>
          <w:szCs w:val="32"/>
        </w:rPr>
        <w:t>实训平台</w:t>
      </w:r>
      <w:r>
        <w:rPr>
          <w:rFonts w:ascii="仿宋_GB2312" w:hAnsi="仿宋_GB2312" w:eastAsia="仿宋_GB2312" w:cs="仿宋_GB2312"/>
          <w:color w:val="auto"/>
          <w:sz w:val="32"/>
          <w:szCs w:val="32"/>
        </w:rPr>
        <w:t>的积极主动应用，</w:t>
      </w:r>
      <w:r>
        <w:rPr>
          <w:rFonts w:hint="eastAsia" w:ascii="仿宋_GB2312" w:hAnsi="仿宋_GB2312" w:eastAsia="仿宋_GB2312" w:cs="仿宋_GB2312"/>
          <w:color w:val="auto"/>
          <w:sz w:val="32"/>
          <w:szCs w:val="32"/>
        </w:rPr>
        <w:t>让学生</w:t>
      </w:r>
      <w:r>
        <w:rPr>
          <w:rFonts w:ascii="仿宋_GB2312" w:hAnsi="仿宋_GB2312" w:eastAsia="仿宋_GB2312" w:cs="仿宋_GB2312"/>
          <w:color w:val="auto"/>
          <w:sz w:val="32"/>
          <w:szCs w:val="32"/>
        </w:rPr>
        <w:t>进行自主探索和互动协作的</w:t>
      </w:r>
      <w:r>
        <w:rPr>
          <w:color w:val="auto"/>
        </w:rPr>
        <w:fldChar w:fldCharType="begin"/>
      </w:r>
      <w:r>
        <w:rPr>
          <w:color w:val="auto"/>
        </w:rPr>
        <w:instrText xml:space="preserve"> HYPERLINK "https://baike.baidu.com/item/%E5%AD%A6%E4%B9%A0/222729?fromModule=lemma_inlink" \t "https://baike.baidu.com/item/%E4%BB%BB%E5%8A%A1%E9%A9%B1%E5%8A%A8%E6%B3%95/_blank" </w:instrText>
      </w:r>
      <w:r>
        <w:rPr>
          <w:color w:val="auto"/>
        </w:rPr>
        <w:fldChar w:fldCharType="separate"/>
      </w:r>
      <w:r>
        <w:rPr>
          <w:rFonts w:ascii="仿宋_GB2312" w:hAnsi="仿宋_GB2312" w:eastAsia="仿宋_GB2312" w:cs="仿宋_GB2312"/>
          <w:color w:val="auto"/>
          <w:sz w:val="32"/>
          <w:szCs w:val="32"/>
        </w:rPr>
        <w:t>学习</w:t>
      </w:r>
      <w:r>
        <w:rPr>
          <w:rFonts w:ascii="仿宋_GB2312" w:hAnsi="仿宋_GB2312" w:eastAsia="仿宋_GB2312" w:cs="仿宋_GB2312"/>
          <w:color w:val="auto"/>
          <w:sz w:val="32"/>
          <w:szCs w:val="32"/>
        </w:rPr>
        <w:fldChar w:fldCharType="end"/>
      </w:r>
      <w:r>
        <w:rPr>
          <w:rFonts w:ascii="仿宋_GB2312" w:hAnsi="仿宋_GB2312" w:eastAsia="仿宋_GB2312" w:cs="仿宋_GB2312"/>
          <w:color w:val="auto"/>
          <w:sz w:val="32"/>
          <w:szCs w:val="32"/>
        </w:rPr>
        <w:t>，并在完成既定任务的同时，引导学生产生一种学习实践活动。</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教学法。按照网店运营建设店铺的基本流程，学生通过跨境店铺注册操作、跨境市场分析、跨境选品、产品发布操作、跨境店铺装修操作、跨境店铺推广操作、跨境交易管理操作、收款、跨境物流、售后服务等电商工作的主要环节进行实际操作，从而对网店运营实际工作有一个比较全面、系统的了解。</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2.学生考核评价方法</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改革传统的学生评价手段和方法，采用阶段评价、过程性评价与目标评价相结合、项目评价、理论与实践一体化评价模式。</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（1）以“科学性、全方位、人性化”为考核原则，建立由教师、学生、企业专家组成的“三位一体”的立体化评价考核机制。</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（2）突出过程性评价，将平时评价与总结性评价相结合。结合日常考勤、课堂提问、作业质量、技能训练与测试、实习实训、考试等情况综合评价学生成绩。</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（3）以综合职业技能考核为主线，注重对学生的动手能力，以及在实践中分析问题、解决问题能力的考核，同时关注学生的素质培养，确立学生合作意识、工作作风、创新思维等方面的评价指标。</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3.教学实施与保障</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通过在校内理实一体化实训室的全真操作，根据项目教学要求，让学生掌握十项基本业务操作技能，其中包括对网店运营的了解，跨境店铺注册操作、跨境市场分析、跨境选品、产品发布操作、跨境店铺装修操作、跨境店铺推广操作、跨境交易管理操作、收款、跨境物流、售后服务等业务操作能力，培养学生踏实肯干、吃苦耐劳的工作作风以及善于沟通和团队合作的工作品质，为学生走上网店运营工作岗位和网店运营创业打下坚实的基础。</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4.教材编写与选用</w:t>
      </w:r>
    </w:p>
    <w:p>
      <w:pPr>
        <w:widowControl/>
        <w:spacing w:line="560" w:lineRule="exact"/>
        <w:ind w:firstLine="640" w:firstLineChars="200"/>
        <w:jc w:val="left"/>
        <w:rPr>
          <w:rFonts w:ascii="仿宋_GB2312" w:hAnsi="仿宋_GB2312" w:eastAsia="仿宋_GB2312" w:cs="仿宋_GB2312"/>
          <w:color w:val="auto"/>
          <w:sz w:val="32"/>
          <w:szCs w:val="32"/>
        </w:rPr>
        <w:sectPr>
          <w:pgSz w:w="11906" w:h="16838"/>
          <w:pgMar w:top="2041" w:right="1531" w:bottom="1985" w:left="1531" w:header="0" w:footer="1136" w:gutter="0"/>
          <w:pgNumType w:fmt="numberInDash"/>
          <w:cols w:space="720" w:num="1"/>
          <w:docGrid w:linePitch="286" w:charSpace="0"/>
        </w:sectPr>
      </w:pPr>
      <w:r>
        <w:rPr>
          <w:rFonts w:hint="eastAsia" w:ascii="仿宋_GB2312" w:hAnsi="仿宋_GB2312" w:eastAsia="仿宋_GB2312" w:cs="仿宋_GB2312"/>
          <w:color w:val="auto"/>
          <w:sz w:val="32"/>
          <w:szCs w:val="32"/>
        </w:rPr>
        <w:t>教材编写应符合本课程标准，体现“理论够用、突出实践”的原则。引入必须的理论知识的同时，还应增加实践实操内容，强调理论在实践过程中的应用。将教材内容与工作岗位对专业人才的知识要求、技能要求结合起来，充分体现行动引领、理实一体、工学结合的设计思想。应注意吸收新理念、新案例，多设计模拟训练，注重学生综合素质的提高，有利于学生的全面发展和长远发展。教材应图文并茂，提高学生学习兴趣，加深学生对网店运营的认识和理解。教材表达必须精炼、准确、科学。</w:t>
      </w:r>
    </w:p>
    <w:p>
      <w:pPr>
        <w:snapToGrid w:val="0"/>
        <w:spacing w:after="120" w:afterLines="50" w:line="580" w:lineRule="exact"/>
        <w:jc w:val="center"/>
        <w:rPr>
          <w:rFonts w:ascii="方正小标宋简体" w:hAnsi="方正小标宋_GBK" w:eastAsia="方正小标宋简体" w:cs="方正小标宋_GBK"/>
          <w:color w:val="auto"/>
          <w:sz w:val="32"/>
          <w:szCs w:val="32"/>
        </w:rPr>
      </w:pPr>
      <w:r>
        <w:rPr>
          <w:rFonts w:hint="eastAsia" w:ascii="方正小标宋简体" w:hAnsi="宋体" w:eastAsia="方正小标宋简体"/>
          <w:color w:val="auto"/>
          <w:sz w:val="32"/>
          <w:szCs w:val="32"/>
        </w:rPr>
        <w:t>岗位实习课程标准</w:t>
      </w:r>
    </w:p>
    <w:p>
      <w:pPr>
        <w:numPr>
          <w:ilvl w:val="0"/>
          <w:numId w:val="6"/>
        </w:numPr>
        <w:adjustRightInd w:val="0"/>
        <w:snapToGrid w:val="0"/>
        <w:spacing w:line="560" w:lineRule="exact"/>
        <w:ind w:firstLine="640" w:firstLineChars="200"/>
        <w:rPr>
          <w:rFonts w:ascii="楷体" w:hAnsi="楷体" w:eastAsia="楷体" w:cs="楷体"/>
          <w:color w:val="auto"/>
          <w:sz w:val="32"/>
          <w:szCs w:val="32"/>
        </w:rPr>
      </w:pPr>
      <w:r>
        <w:rPr>
          <w:rFonts w:hint="eastAsia" w:ascii="楷体" w:hAnsi="楷体" w:eastAsia="楷体" w:cs="楷体"/>
          <w:color w:val="auto"/>
          <w:sz w:val="32"/>
          <w:szCs w:val="32"/>
        </w:rPr>
        <w:t>适用范围</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本岗位实习标准依据《职业学校学生实习管理规定》制定，适用于物流服务与管理专业学生的岗位实习安排，面向运输服务与管理、仓储服务与管理、商务服务等岗位（群）或技术领域。</w:t>
      </w:r>
    </w:p>
    <w:p>
      <w:pPr>
        <w:adjustRightInd w:val="0"/>
        <w:snapToGrid w:val="0"/>
        <w:spacing w:line="560" w:lineRule="exact"/>
        <w:ind w:firstLine="640" w:firstLineChars="200"/>
        <w:rPr>
          <w:rFonts w:ascii="楷体_GB2312" w:hAnsi="仿宋_GB2312" w:eastAsia="楷体_GB2312" w:cs="仿宋_GB2312"/>
          <w:color w:val="auto"/>
          <w:sz w:val="32"/>
          <w:szCs w:val="32"/>
        </w:rPr>
      </w:pPr>
      <w:r>
        <w:rPr>
          <w:rFonts w:hint="eastAsia" w:ascii="楷体_GB2312" w:hAnsi="仿宋_GB2312" w:eastAsia="楷体_GB2312" w:cs="仿宋_GB2312"/>
          <w:color w:val="auto"/>
          <w:sz w:val="32"/>
          <w:szCs w:val="32"/>
        </w:rPr>
        <w:t>（二）实习目标</w:t>
      </w:r>
    </w:p>
    <w:p>
      <w:pPr>
        <w:pStyle w:val="6"/>
        <w:spacing w:line="560" w:lineRule="exact"/>
        <w:ind w:firstLine="640" w:firstLineChars="200"/>
        <w:rPr>
          <w:rFonts w:ascii="仿宋_GB2312" w:hAnsi="Times New Roman" w:eastAsia="仿宋_GB2312" w:cs="Times New Roman"/>
          <w:color w:val="auto"/>
          <w:sz w:val="32"/>
          <w:szCs w:val="32"/>
          <w:lang w:eastAsia="zh-CN"/>
        </w:rPr>
      </w:pPr>
      <w:r>
        <w:rPr>
          <w:rFonts w:hint="eastAsia" w:ascii="仿宋_GB2312" w:hAnsi="Times New Roman" w:eastAsia="仿宋_GB2312" w:cs="Times New Roman"/>
          <w:color w:val="auto"/>
          <w:sz w:val="32"/>
          <w:szCs w:val="32"/>
          <w:lang w:eastAsia="zh-CN"/>
        </w:rPr>
        <w:t>通过岗位实习，使学生了解</w:t>
      </w:r>
      <w:r>
        <w:rPr>
          <w:rFonts w:hint="eastAsia" w:ascii="仿宋_GB2312" w:hAnsi="仿宋_GB2312" w:eastAsia="仿宋_GB2312" w:cs="仿宋_GB2312"/>
          <w:color w:val="auto"/>
          <w:sz w:val="32"/>
          <w:szCs w:val="32"/>
          <w:lang w:eastAsia="zh-CN"/>
        </w:rPr>
        <w:t>物流</w:t>
      </w:r>
      <w:r>
        <w:rPr>
          <w:rFonts w:hint="eastAsia" w:ascii="仿宋_GB2312" w:hAnsi="Times New Roman" w:eastAsia="仿宋_GB2312" w:cs="Times New Roman"/>
          <w:color w:val="auto"/>
          <w:sz w:val="32"/>
          <w:szCs w:val="32"/>
          <w:lang w:eastAsia="zh-CN"/>
        </w:rPr>
        <w:t>企业的组织架构、规章制度、企业文化、运作模式和安全生产基本知识，以及前沿技术和数字经济驱动下职业场景的变化；掌握</w:t>
      </w:r>
      <w:r>
        <w:rPr>
          <w:rFonts w:hint="eastAsia" w:ascii="仿宋_GB2312" w:hAnsi="仿宋_GB2312" w:eastAsia="仿宋_GB2312" w:cs="仿宋_GB2312"/>
          <w:color w:val="auto"/>
          <w:sz w:val="32"/>
          <w:szCs w:val="32"/>
          <w:lang w:eastAsia="zh-CN"/>
        </w:rPr>
        <w:t>仓储、运输、配送</w:t>
      </w:r>
      <w:r>
        <w:rPr>
          <w:rFonts w:hint="eastAsia" w:ascii="仿宋_GB2312" w:hAnsi="Times New Roman" w:eastAsia="仿宋_GB2312" w:cs="Times New Roman"/>
          <w:color w:val="auto"/>
          <w:sz w:val="32"/>
          <w:szCs w:val="32"/>
          <w:lang w:eastAsia="zh-CN"/>
        </w:rPr>
        <w:t>等岗位的典型工作流程、工作内容及核心技能；养成吃苦耐劳、精益求精、爱岗敬业、诚实守信的职业精神；锤炼学生意志品质，服务学生全面发展，增强学生的就业能力。</w:t>
      </w:r>
    </w:p>
    <w:p>
      <w:pPr>
        <w:adjustRightInd w:val="0"/>
        <w:snapToGrid w:val="0"/>
        <w:spacing w:line="560" w:lineRule="exact"/>
        <w:ind w:firstLine="640" w:firstLineChars="200"/>
        <w:rPr>
          <w:rFonts w:ascii="楷体_GB2312" w:hAnsi="仿宋_GB2312" w:eastAsia="楷体_GB2312" w:cs="仿宋_GB2312"/>
          <w:color w:val="auto"/>
          <w:sz w:val="32"/>
          <w:szCs w:val="32"/>
        </w:rPr>
      </w:pPr>
      <w:bookmarkStart w:id="31" w:name="bookmark3"/>
      <w:bookmarkEnd w:id="31"/>
      <w:r>
        <w:rPr>
          <w:rFonts w:hint="eastAsia" w:ascii="楷体_GB2312" w:hAnsi="仿宋_GB2312" w:eastAsia="楷体_GB2312" w:cs="仿宋_GB2312"/>
          <w:color w:val="auto"/>
          <w:sz w:val="32"/>
          <w:szCs w:val="32"/>
        </w:rPr>
        <w:t>(三）时间安排</w:t>
      </w:r>
    </w:p>
    <w:p>
      <w:pPr>
        <w:pStyle w:val="6"/>
        <w:spacing w:line="560" w:lineRule="exact"/>
        <w:ind w:firstLine="640" w:firstLineChars="200"/>
        <w:rPr>
          <w:rFonts w:ascii="仿宋_GB2312" w:hAnsi="Times New Roman" w:eastAsia="仿宋_GB2312" w:cs="Times New Roman"/>
          <w:color w:val="auto"/>
          <w:sz w:val="32"/>
          <w:szCs w:val="32"/>
          <w:lang w:eastAsia="zh-CN"/>
        </w:rPr>
      </w:pPr>
      <w:r>
        <w:rPr>
          <w:rFonts w:hint="eastAsia" w:ascii="仿宋_GB2312" w:hAnsi="Times New Roman" w:eastAsia="仿宋_GB2312" w:cs="Times New Roman"/>
          <w:color w:val="auto"/>
          <w:sz w:val="32"/>
          <w:szCs w:val="32"/>
          <w:lang w:eastAsia="zh-CN"/>
        </w:rPr>
        <w:t>岗位实习一般为期6个月，共720学时，采用集中和分段相结合的形式，探索工学交替、多学期、分段式实践性教学改革。建议集中安排在第</w:t>
      </w:r>
      <w:r>
        <w:rPr>
          <w:rFonts w:ascii="仿宋_GB2312" w:hAnsi="Times New Roman" w:eastAsia="仿宋_GB2312" w:cs="Times New Roman"/>
          <w:color w:val="auto"/>
          <w:sz w:val="32"/>
          <w:szCs w:val="32"/>
          <w:lang w:eastAsia="zh-CN"/>
        </w:rPr>
        <w:t>6</w:t>
      </w:r>
      <w:r>
        <w:rPr>
          <w:rFonts w:hint="eastAsia" w:ascii="仿宋_GB2312" w:hAnsi="Times New Roman" w:eastAsia="仿宋_GB2312" w:cs="Times New Roman"/>
          <w:color w:val="auto"/>
          <w:sz w:val="32"/>
          <w:szCs w:val="32"/>
          <w:lang w:eastAsia="zh-CN"/>
        </w:rPr>
        <w:t>学期（</w:t>
      </w:r>
      <w:r>
        <w:rPr>
          <w:rFonts w:ascii="仿宋_GB2312" w:hAnsi="Times New Roman" w:eastAsia="仿宋_GB2312" w:cs="Times New Roman"/>
          <w:color w:val="auto"/>
          <w:sz w:val="32"/>
          <w:szCs w:val="32"/>
          <w:lang w:eastAsia="zh-CN"/>
        </w:rPr>
        <w:t>20</w:t>
      </w:r>
      <w:r>
        <w:rPr>
          <w:rFonts w:hint="eastAsia" w:ascii="仿宋_GB2312" w:hAnsi="Times New Roman" w:eastAsia="仿宋_GB2312" w:cs="Times New Roman"/>
          <w:color w:val="auto"/>
          <w:sz w:val="32"/>
          <w:szCs w:val="32"/>
          <w:lang w:eastAsia="zh-CN"/>
        </w:rPr>
        <w:t>周）和第</w:t>
      </w:r>
      <w:r>
        <w:rPr>
          <w:rFonts w:ascii="仿宋_GB2312" w:hAnsi="Times New Roman" w:eastAsia="仿宋_GB2312" w:cs="Times New Roman"/>
          <w:color w:val="auto"/>
          <w:sz w:val="32"/>
          <w:szCs w:val="32"/>
          <w:lang w:eastAsia="zh-CN"/>
        </w:rPr>
        <w:t>5</w:t>
      </w:r>
      <w:r>
        <w:rPr>
          <w:rFonts w:hint="eastAsia" w:ascii="仿宋_GB2312" w:hAnsi="Times New Roman" w:eastAsia="仿宋_GB2312" w:cs="Times New Roman"/>
          <w:color w:val="auto"/>
          <w:sz w:val="32"/>
          <w:szCs w:val="32"/>
          <w:lang w:eastAsia="zh-CN"/>
        </w:rPr>
        <w:t>学期（</w:t>
      </w:r>
      <w:r>
        <w:rPr>
          <w:rFonts w:ascii="仿宋_GB2312" w:hAnsi="Times New Roman" w:eastAsia="仿宋_GB2312" w:cs="Times New Roman"/>
          <w:color w:val="auto"/>
          <w:sz w:val="32"/>
          <w:szCs w:val="32"/>
          <w:lang w:eastAsia="zh-CN"/>
        </w:rPr>
        <w:t>4</w:t>
      </w:r>
      <w:r>
        <w:rPr>
          <w:rFonts w:hint="eastAsia" w:ascii="仿宋_GB2312" w:hAnsi="Times New Roman" w:eastAsia="仿宋_GB2312" w:cs="Times New Roman"/>
          <w:color w:val="auto"/>
          <w:sz w:val="32"/>
          <w:szCs w:val="32"/>
          <w:lang w:eastAsia="zh-CN"/>
        </w:rPr>
        <w:t>周）。</w:t>
      </w:r>
    </w:p>
    <w:p>
      <w:pPr>
        <w:adjustRightInd w:val="0"/>
        <w:snapToGrid w:val="0"/>
        <w:spacing w:line="560" w:lineRule="exact"/>
        <w:ind w:firstLine="640" w:firstLineChars="200"/>
        <w:rPr>
          <w:rFonts w:ascii="楷体_GB2312" w:hAnsi="仿宋_GB2312" w:eastAsia="楷体_GB2312" w:cs="仿宋_GB2312"/>
          <w:color w:val="auto"/>
          <w:sz w:val="32"/>
          <w:szCs w:val="32"/>
        </w:rPr>
      </w:pPr>
      <w:bookmarkStart w:id="32" w:name="bookmark4"/>
      <w:bookmarkEnd w:id="32"/>
      <w:bookmarkStart w:id="33" w:name="bookmark5"/>
      <w:bookmarkEnd w:id="33"/>
      <w:r>
        <w:rPr>
          <w:rFonts w:hint="eastAsia" w:ascii="楷体_GB2312" w:hAnsi="仿宋_GB2312" w:eastAsia="楷体_GB2312" w:cs="仿宋_GB2312"/>
          <w:color w:val="auto"/>
          <w:sz w:val="32"/>
          <w:szCs w:val="32"/>
        </w:rPr>
        <w:t>（四）实习条件</w:t>
      </w:r>
    </w:p>
    <w:p>
      <w:pPr>
        <w:pStyle w:val="6"/>
        <w:spacing w:line="560" w:lineRule="exact"/>
        <w:ind w:firstLine="640" w:firstLineChars="200"/>
        <w:rPr>
          <w:rFonts w:ascii="仿宋_GB2312" w:hAnsi="Times New Roman" w:eastAsia="仿宋_GB2312" w:cs="Times New Roman"/>
          <w:color w:val="auto"/>
          <w:sz w:val="32"/>
          <w:szCs w:val="32"/>
          <w:lang w:eastAsia="zh-CN"/>
        </w:rPr>
      </w:pPr>
      <w:r>
        <w:rPr>
          <w:rFonts w:hint="eastAsia" w:ascii="仿宋_GB2312" w:hAnsi="Times New Roman" w:eastAsia="仿宋_GB2312" w:cs="Times New Roman"/>
          <w:color w:val="auto"/>
          <w:sz w:val="32"/>
          <w:szCs w:val="32"/>
          <w:lang w:eastAsia="zh-CN"/>
        </w:rPr>
        <w:t>1.实习单位</w:t>
      </w:r>
    </w:p>
    <w:p>
      <w:pPr>
        <w:pStyle w:val="6"/>
        <w:spacing w:line="560" w:lineRule="exact"/>
        <w:ind w:firstLine="640" w:firstLineChars="200"/>
        <w:rPr>
          <w:rFonts w:ascii="仿宋_GB2312" w:hAnsi="Times New Roman" w:eastAsia="仿宋_GB2312" w:cs="Times New Roman"/>
          <w:color w:val="auto"/>
          <w:sz w:val="32"/>
          <w:szCs w:val="32"/>
          <w:lang w:eastAsia="zh-CN"/>
        </w:rPr>
      </w:pPr>
      <w:r>
        <w:rPr>
          <w:rFonts w:hint="eastAsia" w:ascii="仿宋_GB2312" w:hAnsi="Times New Roman" w:eastAsia="仿宋_GB2312" w:cs="Times New Roman"/>
          <w:color w:val="auto"/>
          <w:sz w:val="32"/>
          <w:szCs w:val="32"/>
          <w:lang w:eastAsia="zh-CN"/>
        </w:rPr>
        <w:t>本专业岗位实习主要面向家家悦、顺丰速运、菜鸟驿站等企业或生产活动场所，实习单位选定须由教学部进行实地考察和综合评估，并经学校产教融合办公室研究确定，具体要求如下。</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color w:val="auto"/>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w:t>
      </w:r>
      <w:r>
        <w:rPr>
          <w:rFonts w:hint="eastAsia" w:ascii="仿宋_GB2312" w:hAnsi="Times New Roman" w:eastAsia="仿宋_GB2312" w:cs="Times New Roman"/>
          <w:sz w:val="32"/>
          <w:szCs w:val="32"/>
          <w:lang w:eastAsia="zh-CN"/>
        </w:rPr>
        <w:t>的，也可作为学生实习单位。</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（2）经营范围：食品销售、物流普运、整车运输、零担</w:t>
      </w:r>
      <w:r>
        <w:rPr>
          <w:rFonts w:hint="eastAsia" w:ascii="仿宋_GB2312" w:hAnsi="仿宋_GB2312" w:eastAsia="仿宋_GB2312" w:cs="仿宋_GB2312"/>
          <w:sz w:val="32"/>
          <w:szCs w:val="32"/>
          <w:lang w:eastAsia="zh-CN"/>
        </w:rPr>
        <w:t>运输</w:t>
      </w:r>
      <w:r>
        <w:rPr>
          <w:rFonts w:hint="eastAsia" w:ascii="仿宋_GB2312" w:hAnsi="Times New Roman" w:eastAsia="仿宋_GB2312" w:cs="Times New Roman"/>
          <w:sz w:val="32"/>
          <w:szCs w:val="32"/>
          <w:lang w:eastAsia="zh-CN"/>
        </w:rPr>
        <w:t>等。</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spacing w:line="560" w:lineRule="exact"/>
        <w:ind w:firstLine="640" w:firstLineChars="200"/>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34" w:name="bookmark6"/>
      <w:bookmarkEnd w:id="34"/>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6"/>
        <w:spacing w:line="560" w:lineRule="exact"/>
        <w:ind w:firstLine="668" w:firstLineChars="200"/>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6"/>
        <w:spacing w:line="560" w:lineRule="exact"/>
        <w:ind w:firstLine="640" w:firstLineChars="200"/>
        <w:rPr>
          <w:rFonts w:ascii="仿宋_GB2312" w:hAnsi="Times New Roman" w:eastAsia="仿宋_GB2312" w:cs="Times New Roman"/>
          <w:sz w:val="32"/>
          <w:szCs w:val="32"/>
          <w:lang w:eastAsia="zh-CN"/>
        </w:rPr>
      </w:pPr>
      <w:bookmarkStart w:id="35" w:name="bookmark7"/>
      <w:bookmarkEnd w:id="35"/>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实习岗位应符合本专业培养目标要求，与本专业对口或相近，原则上不得跨专业大类安排实习。实习岗位包括仓储管理员、快递员、理货</w:t>
      </w:r>
      <w:r>
        <w:rPr>
          <w:rFonts w:hint="eastAsia" w:ascii="仿宋_GB2312" w:hAnsi="仿宋_GB2312" w:eastAsia="仿宋_GB2312" w:cs="仿宋_GB2312"/>
          <w:sz w:val="32"/>
          <w:szCs w:val="32"/>
          <w:lang w:eastAsia="zh-CN"/>
        </w:rPr>
        <w:t>员、快件处理员、报关员</w:t>
      </w:r>
      <w:r>
        <w:rPr>
          <w:rFonts w:hint="eastAsia" w:ascii="仿宋_GB2312" w:hAnsi="Times New Roman" w:eastAsia="仿宋_GB2312" w:cs="Times New Roman"/>
          <w:sz w:val="32"/>
          <w:szCs w:val="32"/>
          <w:lang w:eastAsia="zh-CN"/>
        </w:rPr>
        <w:t>等岗位。</w:t>
      </w:r>
    </w:p>
    <w:p>
      <w:pPr>
        <w:pStyle w:val="6"/>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6"/>
        <w:spacing w:line="560" w:lineRule="exact"/>
        <w:ind w:firstLine="640" w:firstLineChars="200"/>
        <w:rPr>
          <w:rFonts w:ascii="仿宋_GB2312" w:hAnsi="Times New Roman" w:eastAsia="仿宋_GB2312" w:cs="Times New Roman"/>
          <w:sz w:val="32"/>
          <w:szCs w:val="32"/>
          <w:lang w:eastAsia="zh-CN"/>
        </w:rPr>
      </w:pPr>
      <w:bookmarkStart w:id="36" w:name="bookmark8"/>
      <w:bookmarkEnd w:id="36"/>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6"/>
        <w:spacing w:line="560" w:lineRule="exact"/>
        <w:ind w:firstLine="640" w:firstLineChars="200"/>
        <w:rPr>
          <w:rFonts w:ascii="仿宋_GB2312" w:hAnsi="Times New Roman" w:eastAsia="仿宋_GB2312" w:cs="Times New Roman"/>
          <w:sz w:val="32"/>
          <w:szCs w:val="32"/>
          <w:lang w:eastAsia="zh-CN"/>
        </w:rPr>
      </w:pPr>
      <w:bookmarkStart w:id="37" w:name="bookmark9"/>
      <w:bookmarkEnd w:id="37"/>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adjustRightInd w:val="0"/>
        <w:snapToGrid w:val="0"/>
        <w:spacing w:line="560" w:lineRule="exact"/>
        <w:ind w:firstLine="640" w:firstLineChars="200"/>
        <w:rPr>
          <w:rFonts w:ascii="楷体_GB2312" w:hAnsi="仿宋_GB2312" w:eastAsia="楷体_GB2312" w:cs="仿宋_GB2312"/>
          <w:sz w:val="32"/>
          <w:szCs w:val="32"/>
        </w:rPr>
      </w:pPr>
      <w:bookmarkStart w:id="38" w:name="bookmark10"/>
      <w:bookmarkEnd w:id="38"/>
      <w:r>
        <w:rPr>
          <w:rFonts w:hint="eastAsia" w:ascii="楷体_GB2312" w:hAnsi="仿宋_GB2312" w:eastAsia="楷体_GB2312" w:cs="仿宋_GB2312"/>
          <w:sz w:val="32"/>
          <w:szCs w:val="32"/>
        </w:rPr>
        <w:t>（五）实习内容</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学校和实习企业应共同对岗位实习学生开展教育教学工作，实习内容除开展专业职业技能教育外，还应包括对学生开展的职业道德、企业文化和安全生产等方面的岗前培训教育，按照运输、仓配、货运代理、</w:t>
      </w:r>
      <w:r>
        <w:rPr>
          <w:rFonts w:hint="eastAsia" w:ascii="仿宋_GB2312" w:hAnsi="仿宋_GB2312" w:eastAsia="仿宋_GB2312" w:cs="仿宋_GB2312"/>
          <w:sz w:val="32"/>
          <w:szCs w:val="32"/>
          <w:lang w:eastAsia="zh-CN"/>
        </w:rPr>
        <w:t>客户服务、快递</w:t>
      </w:r>
      <w:r>
        <w:rPr>
          <w:rFonts w:hint="eastAsia" w:ascii="仿宋_GB2312" w:hAnsi="Times New Roman" w:eastAsia="仿宋_GB2312" w:cs="Times New Roman"/>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4"/>
        </w:rPr>
      </w:pPr>
      <w:r>
        <w:rPr>
          <w:rFonts w:ascii="黑体" w:hAnsi="黑体" w:eastAsia="黑体" w:cs="仿宋_GB2312"/>
          <w:sz w:val="24"/>
        </w:rPr>
        <w:t xml:space="preserve">表 1 </w:t>
      </w:r>
      <w:r>
        <w:rPr>
          <w:rFonts w:hint="eastAsia" w:ascii="黑体" w:hAnsi="黑体" w:eastAsia="黑体" w:cs="仿宋_GB2312"/>
          <w:sz w:val="24"/>
        </w:rPr>
        <w:t>物流服务与管理</w:t>
      </w:r>
      <w:r>
        <w:rPr>
          <w:rFonts w:ascii="黑体" w:hAnsi="黑体" w:eastAsia="黑体" w:cs="仿宋_GB2312"/>
          <w:sz w:val="24"/>
        </w:rPr>
        <w:t>专业岗位实习内容</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97"/>
        <w:gridCol w:w="759"/>
        <w:gridCol w:w="3328"/>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54" w:type="dxa"/>
          </w:tcPr>
          <w:p>
            <w:pPr>
              <w:adjustRightInd w:val="0"/>
              <w:snapToGrid w:val="0"/>
              <w:spacing w:line="440" w:lineRule="exact"/>
              <w:jc w:val="center"/>
              <w:rPr>
                <w:rFonts w:ascii="黑体" w:hAnsi="黑体" w:eastAsia="黑体" w:cs="仿宋_GB2312"/>
                <w:szCs w:val="21"/>
              </w:rPr>
            </w:pPr>
            <w:r>
              <w:rPr>
                <w:rFonts w:hint="eastAsia" w:ascii="黑体" w:hAnsi="黑体" w:eastAsia="黑体"/>
                <w:szCs w:val="21"/>
              </w:rPr>
              <w:t>序号</w:t>
            </w:r>
          </w:p>
        </w:tc>
        <w:tc>
          <w:tcPr>
            <w:tcW w:w="1197" w:type="dxa"/>
          </w:tcPr>
          <w:p>
            <w:pPr>
              <w:adjustRightInd w:val="0"/>
              <w:snapToGrid w:val="0"/>
              <w:spacing w:line="440" w:lineRule="exact"/>
              <w:jc w:val="center"/>
              <w:rPr>
                <w:rFonts w:ascii="黑体" w:hAnsi="黑体" w:eastAsia="黑体" w:cs="仿宋_GB2312"/>
                <w:szCs w:val="21"/>
              </w:rPr>
            </w:pPr>
            <w:r>
              <w:rPr>
                <w:rFonts w:hint="eastAsia" w:ascii="黑体" w:hAnsi="黑体" w:eastAsia="黑体"/>
                <w:szCs w:val="21"/>
              </w:rPr>
              <w:t>实习项目</w:t>
            </w:r>
          </w:p>
        </w:tc>
        <w:tc>
          <w:tcPr>
            <w:tcW w:w="759" w:type="dxa"/>
          </w:tcPr>
          <w:p>
            <w:pPr>
              <w:adjustRightInd w:val="0"/>
              <w:snapToGrid w:val="0"/>
              <w:spacing w:line="440" w:lineRule="exact"/>
              <w:jc w:val="center"/>
              <w:rPr>
                <w:rFonts w:ascii="黑体" w:hAnsi="黑体" w:eastAsia="黑体" w:cs="仿宋_GB2312"/>
                <w:szCs w:val="21"/>
              </w:rPr>
            </w:pPr>
            <w:r>
              <w:rPr>
                <w:rFonts w:hint="eastAsia" w:ascii="黑体" w:hAnsi="黑体" w:eastAsia="黑体"/>
                <w:szCs w:val="21"/>
              </w:rPr>
              <w:t>时间</w:t>
            </w:r>
          </w:p>
        </w:tc>
        <w:tc>
          <w:tcPr>
            <w:tcW w:w="3328" w:type="dxa"/>
          </w:tcPr>
          <w:p>
            <w:pPr>
              <w:adjustRightInd w:val="0"/>
              <w:snapToGrid w:val="0"/>
              <w:spacing w:line="440" w:lineRule="exact"/>
              <w:jc w:val="center"/>
              <w:rPr>
                <w:rFonts w:ascii="黑体" w:hAnsi="黑体" w:eastAsia="黑体" w:cs="仿宋_GB2312"/>
                <w:szCs w:val="21"/>
              </w:rPr>
            </w:pPr>
            <w:r>
              <w:rPr>
                <w:rFonts w:hint="eastAsia" w:ascii="黑体" w:hAnsi="黑体" w:eastAsia="黑体"/>
                <w:szCs w:val="21"/>
              </w:rPr>
              <w:t>工作任务</w:t>
            </w:r>
          </w:p>
        </w:tc>
        <w:tc>
          <w:tcPr>
            <w:tcW w:w="3022" w:type="dxa"/>
          </w:tcPr>
          <w:p>
            <w:pPr>
              <w:adjustRightInd w:val="0"/>
              <w:snapToGrid w:val="0"/>
              <w:spacing w:line="440" w:lineRule="exact"/>
              <w:jc w:val="center"/>
              <w:rPr>
                <w:rFonts w:ascii="黑体" w:hAnsi="黑体" w:eastAsia="黑体" w:cs="仿宋_GB2312"/>
                <w:szCs w:val="21"/>
              </w:rPr>
            </w:pPr>
            <w:r>
              <w:rPr>
                <w:rFonts w:hint="eastAsia" w:ascii="黑体" w:hAnsi="黑体" w:eastAsia="黑体"/>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spacing w:line="340" w:lineRule="exact"/>
              <w:jc w:val="center"/>
              <w:rPr>
                <w:rFonts w:ascii="黑体" w:hAnsi="黑体" w:eastAsia="黑体" w:cs="仿宋_GB2312"/>
                <w:sz w:val="28"/>
                <w:szCs w:val="28"/>
              </w:rPr>
            </w:pPr>
            <w:r>
              <w:rPr>
                <w:rFonts w:hint="eastAsia" w:ascii="仿宋_GB2312" w:hAnsi="仿宋_GB2312" w:eastAsia="仿宋_GB2312" w:cs="仿宋_GB2312"/>
                <w:szCs w:val="21"/>
              </w:rPr>
              <w:t>1</w:t>
            </w:r>
          </w:p>
        </w:tc>
        <w:tc>
          <w:tcPr>
            <w:tcW w:w="1197" w:type="dxa"/>
            <w:vAlign w:val="center"/>
          </w:tcPr>
          <w:p>
            <w:pPr>
              <w:adjustRightInd w:val="0"/>
              <w:snapToGrid w:val="0"/>
              <w:spacing w:line="340" w:lineRule="exact"/>
              <w:jc w:val="center"/>
              <w:rPr>
                <w:rFonts w:ascii="黑体" w:hAnsi="黑体" w:eastAsia="黑体" w:cs="仿宋_GB2312"/>
                <w:sz w:val="28"/>
                <w:szCs w:val="28"/>
              </w:rPr>
            </w:pPr>
            <w:r>
              <w:rPr>
                <w:rFonts w:hint="eastAsia" w:ascii="仿宋_GB2312" w:hAnsi="仿宋_GB2312" w:eastAsia="仿宋_GB2312" w:cs="仿宋_GB2312"/>
                <w:spacing w:val="-2"/>
                <w:szCs w:val="21"/>
              </w:rPr>
              <w:t>岗前培训</w:t>
            </w:r>
          </w:p>
        </w:tc>
        <w:tc>
          <w:tcPr>
            <w:tcW w:w="759" w:type="dxa"/>
            <w:vAlign w:val="center"/>
          </w:tcPr>
          <w:p>
            <w:pPr>
              <w:adjustRightInd w:val="0"/>
              <w:snapToGrid w:val="0"/>
              <w:spacing w:line="340" w:lineRule="exact"/>
              <w:jc w:val="center"/>
              <w:rPr>
                <w:rFonts w:ascii="黑体" w:hAnsi="黑体" w:eastAsia="黑体" w:cs="仿宋_GB2312"/>
                <w:sz w:val="28"/>
                <w:szCs w:val="28"/>
              </w:rPr>
            </w:pPr>
            <w:r>
              <w:rPr>
                <w:rFonts w:hint="eastAsia" w:ascii="仿宋_GB2312" w:hAnsi="仿宋_GB2312" w:eastAsia="仿宋_GB2312" w:cs="仿宋_GB2312"/>
                <w:spacing w:val="-2"/>
                <w:szCs w:val="21"/>
              </w:rPr>
              <w:t>2周</w:t>
            </w:r>
          </w:p>
        </w:tc>
        <w:tc>
          <w:tcPr>
            <w:tcW w:w="3328" w:type="dxa"/>
          </w:tcPr>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1.安全生产法律法规与企业各项 规章制度学习；</w:t>
            </w:r>
          </w:p>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2.企业文化学习与体验；</w:t>
            </w:r>
          </w:p>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3.企业环境与组织架构学习；</w:t>
            </w:r>
          </w:p>
          <w:p>
            <w:pPr>
              <w:adjustRightInd w:val="0"/>
              <w:snapToGrid w:val="0"/>
              <w:spacing w:line="340" w:lineRule="exact"/>
              <w:jc w:val="left"/>
              <w:rPr>
                <w:rFonts w:ascii="黑体" w:hAnsi="黑体" w:eastAsia="仿宋_GB2312" w:cs="仿宋_GB2312"/>
                <w:sz w:val="28"/>
                <w:szCs w:val="28"/>
              </w:rPr>
            </w:pPr>
            <w:r>
              <w:rPr>
                <w:rFonts w:hint="eastAsia" w:ascii="仿宋_GB2312" w:hAnsi="仿宋_GB2312" w:eastAsia="仿宋_GB2312" w:cs="仿宋_GB2312"/>
                <w:spacing w:val="-2"/>
                <w:szCs w:val="21"/>
              </w:rPr>
              <w:t>4.企业岗位工作内容与作业流程学习。</w:t>
            </w:r>
          </w:p>
        </w:tc>
        <w:tc>
          <w:tcPr>
            <w:tcW w:w="3022" w:type="dxa"/>
          </w:tcPr>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 xml:space="preserve">1.能够遵守安全生产管理制度和法律法规，树立良好的职业道德； </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2.认同与融入企业文化；</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spacing w:line="340" w:lineRule="exact"/>
              <w:jc w:val="center"/>
              <w:rPr>
                <w:rFonts w:ascii="黑体" w:hAnsi="黑体" w:eastAsia="黑体" w:cs="仿宋_GB2312"/>
                <w:sz w:val="28"/>
                <w:szCs w:val="28"/>
              </w:rPr>
            </w:pPr>
            <w:r>
              <w:rPr>
                <w:rFonts w:hint="eastAsia" w:ascii="仿宋_GB2312" w:hAnsi="仿宋_GB2312" w:eastAsia="仿宋_GB2312" w:cs="仿宋_GB2312"/>
                <w:szCs w:val="21"/>
              </w:rPr>
              <w:t>2</w:t>
            </w:r>
          </w:p>
        </w:tc>
        <w:tc>
          <w:tcPr>
            <w:tcW w:w="1197" w:type="dxa"/>
            <w:vAlign w:val="center"/>
          </w:tcPr>
          <w:p>
            <w:pPr>
              <w:pStyle w:val="23"/>
              <w:spacing w:line="340" w:lineRule="exact"/>
              <w:jc w:val="left"/>
              <w:rPr>
                <w:rFonts w:hint="default" w:ascii="仿宋_GB2312" w:hAnsi="仿宋_GB2312" w:eastAsia="仿宋_GB2312" w:cs="仿宋_GB2312"/>
                <w:spacing w:val="2"/>
                <w:lang w:val="en-US" w:eastAsia="zh-CN"/>
              </w:rPr>
            </w:pPr>
            <w:r>
              <w:rPr>
                <w:rFonts w:hint="eastAsia" w:ascii="仿宋_GB2312" w:hAnsi="仿宋_GB2312" w:eastAsia="仿宋_GB2312" w:cs="仿宋_GB2312"/>
                <w:spacing w:val="2"/>
                <w:lang w:eastAsia="zh-CN"/>
              </w:rPr>
              <w:t>运输</w:t>
            </w:r>
            <w:r>
              <w:rPr>
                <w:rFonts w:hint="eastAsia" w:ascii="仿宋_GB2312" w:hAnsi="仿宋_GB2312" w:eastAsia="仿宋_GB2312" w:cs="仿宋_GB2312"/>
                <w:spacing w:val="2"/>
                <w:lang w:val="en-US" w:eastAsia="zh-CN"/>
              </w:rPr>
              <w:t>管理</w:t>
            </w:r>
          </w:p>
        </w:tc>
        <w:tc>
          <w:tcPr>
            <w:tcW w:w="759" w:type="dxa"/>
            <w:vAlign w:val="center"/>
          </w:tcPr>
          <w:p>
            <w:pPr>
              <w:adjustRightInd w:val="0"/>
              <w:snapToGrid w:val="0"/>
              <w:spacing w:line="340" w:lineRule="exact"/>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6周</w:t>
            </w:r>
          </w:p>
        </w:tc>
        <w:tc>
          <w:tcPr>
            <w:tcW w:w="3328" w:type="dxa"/>
            <w:vAlign w:val="center"/>
          </w:tcPr>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1.运输组织实施；</w:t>
            </w:r>
          </w:p>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2.运输调度；</w:t>
            </w:r>
          </w:p>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3.运输代理服务；</w:t>
            </w:r>
          </w:p>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4.特殊货物运输业务。</w:t>
            </w:r>
          </w:p>
        </w:tc>
        <w:tc>
          <w:tcPr>
            <w:tcW w:w="3022" w:type="dxa"/>
          </w:tcPr>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1.能完成货物运输计划安排和组织实施；</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2.能利用智慧运输系统完成运输订单管理；</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3.能够利用大数据、人工智能完成配载任务，实现路由追踪；</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4.能进行运输费用计算等。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spacing w:line="340" w:lineRule="exact"/>
              <w:jc w:val="center"/>
              <w:rPr>
                <w:rFonts w:ascii="黑体" w:hAnsi="黑体" w:eastAsia="黑体" w:cs="仿宋_GB2312"/>
                <w:sz w:val="28"/>
                <w:szCs w:val="28"/>
              </w:rPr>
            </w:pPr>
            <w:r>
              <w:rPr>
                <w:rFonts w:hint="eastAsia" w:ascii="仿宋_GB2312" w:hAnsi="仿宋_GB2312" w:eastAsia="仿宋_GB2312" w:cs="仿宋_GB2312"/>
                <w:szCs w:val="21"/>
              </w:rPr>
              <w:t>3</w:t>
            </w:r>
          </w:p>
        </w:tc>
        <w:tc>
          <w:tcPr>
            <w:tcW w:w="1197" w:type="dxa"/>
            <w:vAlign w:val="center"/>
          </w:tcPr>
          <w:p>
            <w:pPr>
              <w:pStyle w:val="23"/>
              <w:spacing w:line="340" w:lineRule="exact"/>
              <w:jc w:val="left"/>
              <w:rPr>
                <w:rFonts w:hint="default" w:ascii="仿宋_GB2312" w:hAnsi="仿宋_GB2312" w:eastAsia="仿宋_GB2312" w:cs="仿宋_GB2312"/>
                <w:spacing w:val="2"/>
                <w:lang w:val="en-US" w:eastAsia="zh-CN"/>
              </w:rPr>
            </w:pPr>
            <w:r>
              <w:rPr>
                <w:rFonts w:hint="eastAsia" w:ascii="仿宋_GB2312" w:hAnsi="仿宋_GB2312" w:eastAsia="仿宋_GB2312" w:cs="仿宋_GB2312"/>
                <w:spacing w:val="2"/>
                <w:lang w:val="en-US" w:eastAsia="zh-CN"/>
              </w:rPr>
              <w:t xml:space="preserve"> 配送服务</w:t>
            </w:r>
          </w:p>
        </w:tc>
        <w:tc>
          <w:tcPr>
            <w:tcW w:w="759" w:type="dxa"/>
            <w:vAlign w:val="center"/>
          </w:tcPr>
          <w:p>
            <w:pPr>
              <w:adjustRightInd w:val="0"/>
              <w:snapToGrid w:val="0"/>
              <w:spacing w:line="340" w:lineRule="exact"/>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4周</w:t>
            </w:r>
          </w:p>
        </w:tc>
        <w:tc>
          <w:tcPr>
            <w:tcW w:w="3328" w:type="dxa"/>
            <w:vAlign w:val="center"/>
          </w:tcPr>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1.同城货物的收货；</w:t>
            </w:r>
          </w:p>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2.同城货物的派送。</w:t>
            </w:r>
          </w:p>
        </w:tc>
        <w:tc>
          <w:tcPr>
            <w:tcW w:w="3022" w:type="dxa"/>
            <w:vAlign w:val="center"/>
          </w:tcPr>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1.能掌握装卸、车辆配载等配送技术和使用配送设备；</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2.能按照要求完成订单处理；</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3.能完成配送作业并处理异常情况。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spacing w:line="340" w:lineRule="exact"/>
              <w:jc w:val="center"/>
              <w:rPr>
                <w:rFonts w:ascii="黑体" w:hAnsi="黑体" w:eastAsia="黑体" w:cs="仿宋_GB2312"/>
                <w:sz w:val="28"/>
                <w:szCs w:val="28"/>
              </w:rPr>
            </w:pPr>
            <w:r>
              <w:rPr>
                <w:rFonts w:hint="eastAsia" w:ascii="仿宋_GB2312" w:hAnsi="仿宋_GB2312" w:eastAsia="仿宋_GB2312" w:cs="仿宋_GB2312"/>
                <w:szCs w:val="21"/>
              </w:rPr>
              <w:t>4</w:t>
            </w:r>
          </w:p>
        </w:tc>
        <w:tc>
          <w:tcPr>
            <w:tcW w:w="1197" w:type="dxa"/>
            <w:vAlign w:val="center"/>
          </w:tcPr>
          <w:p>
            <w:pPr>
              <w:pStyle w:val="23"/>
              <w:spacing w:line="340" w:lineRule="exact"/>
              <w:jc w:val="center"/>
              <w:rPr>
                <w:rFonts w:hint="default" w:ascii="仿宋_GB2312" w:hAnsi="仿宋_GB2312" w:eastAsia="仿宋_GB2312" w:cs="仿宋_GB2312"/>
                <w:spacing w:val="2"/>
                <w:lang w:val="en-US" w:eastAsia="zh-CN"/>
              </w:rPr>
            </w:pPr>
            <w:r>
              <w:rPr>
                <w:rFonts w:hint="eastAsia" w:ascii="仿宋_GB2312" w:hAnsi="仿宋_GB2312" w:eastAsia="仿宋_GB2312" w:cs="仿宋_GB2312"/>
                <w:spacing w:val="2"/>
                <w:lang w:eastAsia="zh-CN"/>
              </w:rPr>
              <w:t>仓储</w:t>
            </w:r>
            <w:r>
              <w:rPr>
                <w:rFonts w:hint="eastAsia" w:ascii="仿宋_GB2312" w:hAnsi="仿宋_GB2312" w:eastAsia="仿宋_GB2312" w:cs="仿宋_GB2312"/>
                <w:spacing w:val="2"/>
                <w:lang w:val="en-US" w:eastAsia="zh-CN"/>
              </w:rPr>
              <w:t>管理</w:t>
            </w:r>
          </w:p>
        </w:tc>
        <w:tc>
          <w:tcPr>
            <w:tcW w:w="759" w:type="dxa"/>
            <w:vAlign w:val="center"/>
          </w:tcPr>
          <w:p>
            <w:pPr>
              <w:pStyle w:val="23"/>
              <w:spacing w:line="340" w:lineRule="exact"/>
              <w:jc w:val="center"/>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6</w:t>
            </w:r>
            <w:r>
              <w:rPr>
                <w:rFonts w:hint="eastAsia" w:ascii="仿宋_GB2312" w:hAnsi="仿宋_GB2312" w:eastAsia="仿宋_GB2312" w:cs="仿宋_GB2312"/>
                <w:spacing w:val="2"/>
              </w:rPr>
              <w:t>周</w:t>
            </w:r>
          </w:p>
        </w:tc>
        <w:tc>
          <w:tcPr>
            <w:tcW w:w="3328" w:type="dxa"/>
            <w:vAlign w:val="center"/>
          </w:tcPr>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1.入库操作；</w:t>
            </w:r>
          </w:p>
          <w:p>
            <w:pPr>
              <w:adjustRightInd w:val="0"/>
              <w:snapToGrid w:val="0"/>
              <w:spacing w:line="340" w:lineRule="exact"/>
              <w:jc w:val="left"/>
              <w:rPr>
                <w:rFonts w:ascii="仿宋_GB2312" w:hAnsi="仿宋_GB2312" w:eastAsia="仿宋_GB2312" w:cs="仿宋_GB2312"/>
                <w:spacing w:val="2"/>
                <w:szCs w:val="21"/>
              </w:rPr>
            </w:pPr>
            <w:r>
              <w:rPr>
                <w:rFonts w:hint="eastAsia" w:ascii="仿宋_GB2312" w:hAnsi="仿宋_GB2312" w:eastAsia="仿宋_GB2312" w:cs="仿宋_GB2312"/>
                <w:spacing w:val="2"/>
                <w:szCs w:val="21"/>
              </w:rPr>
              <w:t>2.在库管理；</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3.出库操作。</w:t>
            </w:r>
          </w:p>
        </w:tc>
        <w:tc>
          <w:tcPr>
            <w:tcW w:w="3022" w:type="dxa"/>
            <w:vAlign w:val="center"/>
          </w:tcPr>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1.能熟练操作智能仓储系统和仓储设备完成货物入库作业；</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2.能熟练操作智能仓储系统和仓储设备完成货物在库管理；</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3.能熟悉货物知识与货物报管保养；</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4.能进行货物作业的安全隐患并作出处理措施；</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5.能进行库存监控与调整；</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6.能熟练操作智能仓储系统和仓储设备完成货物出库、退货处理等作业及异常处理。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spacing w:line="34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97" w:type="dxa"/>
            <w:vAlign w:val="center"/>
          </w:tcPr>
          <w:p>
            <w:pPr>
              <w:pStyle w:val="23"/>
              <w:spacing w:line="340" w:lineRule="exact"/>
              <w:jc w:val="center"/>
              <w:rPr>
                <w:rFonts w:hint="default" w:ascii="仿宋_GB2312" w:hAnsi="仿宋_GB2312" w:eastAsia="仿宋_GB2312" w:cs="仿宋_GB2312"/>
                <w:spacing w:val="2"/>
                <w:lang w:val="en-US" w:eastAsia="zh-CN"/>
              </w:rPr>
            </w:pPr>
            <w:r>
              <w:rPr>
                <w:rFonts w:hint="eastAsia" w:ascii="仿宋_GB2312" w:hAnsi="仿宋_GB2312" w:eastAsia="仿宋_GB2312" w:cs="仿宋_GB2312"/>
                <w:spacing w:val="2"/>
                <w:lang w:eastAsia="zh-CN"/>
              </w:rPr>
              <w:t>快递</w:t>
            </w:r>
            <w:r>
              <w:rPr>
                <w:rFonts w:hint="eastAsia" w:ascii="仿宋_GB2312" w:hAnsi="仿宋_GB2312" w:eastAsia="仿宋_GB2312" w:cs="仿宋_GB2312"/>
                <w:spacing w:val="2"/>
                <w:lang w:val="en-US" w:eastAsia="zh-CN"/>
              </w:rPr>
              <w:t>派送</w:t>
            </w:r>
          </w:p>
        </w:tc>
        <w:tc>
          <w:tcPr>
            <w:tcW w:w="759" w:type="dxa"/>
            <w:vAlign w:val="center"/>
          </w:tcPr>
          <w:p>
            <w:pPr>
              <w:pStyle w:val="23"/>
              <w:spacing w:line="340" w:lineRule="exact"/>
              <w:jc w:val="center"/>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6周</w:t>
            </w:r>
          </w:p>
        </w:tc>
        <w:tc>
          <w:tcPr>
            <w:tcW w:w="3328" w:type="dxa"/>
            <w:vAlign w:val="center"/>
          </w:tcPr>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1.快件收派作业；</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2.快件处理作业。</w:t>
            </w:r>
          </w:p>
        </w:tc>
        <w:tc>
          <w:tcPr>
            <w:tcW w:w="3022" w:type="dxa"/>
            <w:vAlign w:val="center"/>
          </w:tcPr>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1.能了解快递服务术语、快递企业类型、国内外快递业务种类、快递服务标准；</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2.能够遵循法律和业务要求，完成快件揽收的验收与收件工作；</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3.能够完成快件派送及派送后的相关业务处理工作；</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4.能够按照快件的流向完成快件的分拣；</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5.能够使用快递管理信息系统完成总包的拆解及封发；</w:t>
            </w:r>
          </w:p>
          <w:p>
            <w:pPr>
              <w:pStyle w:val="23"/>
              <w:spacing w:line="340" w:lineRule="exact"/>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6.能够操作快递管理信息系统完成快件的信息录入和统计。</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楷体_GB2312" w:hAnsi="仿宋_GB2312" w:eastAsia="楷体_GB2312" w:cs="仿宋_GB2312"/>
          <w:sz w:val="32"/>
          <w:szCs w:val="32"/>
        </w:rPr>
      </w:pPr>
      <w:bookmarkStart w:id="39" w:name="bookmark11"/>
      <w:bookmarkEnd w:id="39"/>
      <w:r>
        <w:rPr>
          <w:rFonts w:hint="eastAsia" w:ascii="楷体_GB2312" w:hAnsi="仿宋_GB2312" w:eastAsia="楷体_GB2312" w:cs="仿宋_GB2312"/>
          <w:sz w:val="32"/>
          <w:szCs w:val="32"/>
        </w:rPr>
        <w:t>（六）实习成果</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楷体_GB2312" w:hAnsi="仿宋_GB2312" w:eastAsia="楷体_GB2312" w:cs="仿宋_GB2312"/>
          <w:sz w:val="32"/>
          <w:szCs w:val="32"/>
        </w:rPr>
      </w:pPr>
      <w:bookmarkStart w:id="40" w:name="bookmark12"/>
      <w:bookmarkEnd w:id="40"/>
      <w:r>
        <w:rPr>
          <w:rFonts w:hint="eastAsia" w:ascii="楷体_GB2312" w:hAnsi="仿宋_GB2312" w:eastAsia="楷体_GB2312" w:cs="仿宋_GB2312"/>
          <w:sz w:val="32"/>
          <w:szCs w:val="32"/>
        </w:rPr>
        <w:t>（七）考核评价</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1.考核内容</w:t>
      </w:r>
      <w:bookmarkStart w:id="41" w:name="bookmark13"/>
      <w:bookmarkEnd w:id="41"/>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42" w:name="bookmark14"/>
      <w:bookmarkEnd w:id="42"/>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43" w:name="bookmark15"/>
      <w:bookmarkEnd w:id="43"/>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楷体_GB2312" w:hAnsi="仿宋_GB2312" w:eastAsia="楷体_GB2312" w:cs="仿宋_GB2312"/>
          <w:sz w:val="32"/>
          <w:szCs w:val="32"/>
        </w:rPr>
      </w:pPr>
      <w:bookmarkStart w:id="44" w:name="bookmark16"/>
      <w:bookmarkEnd w:id="44"/>
      <w:r>
        <w:rPr>
          <w:rFonts w:hint="eastAsia" w:ascii="楷体_GB2312" w:hAnsi="仿宋_GB2312" w:eastAsia="楷体_GB2312" w:cs="仿宋_GB2312"/>
          <w:sz w:val="32"/>
          <w:szCs w:val="32"/>
        </w:rPr>
        <w:t>（八）实习管理</w:t>
      </w:r>
    </w:p>
    <w:p>
      <w:pPr>
        <w:keepNext w:val="0"/>
        <w:keepLines w:val="0"/>
        <w:pageBreakBefore w:val="0"/>
        <w:widowControl w:val="0"/>
        <w:kinsoku/>
        <w:wordWrap/>
        <w:overflowPunct/>
        <w:topLinePunct w:val="0"/>
        <w:autoSpaceDE/>
        <w:autoSpaceDN/>
        <w:bidi w:val="0"/>
        <w:spacing w:line="540" w:lineRule="exact"/>
        <w:ind w:firstLine="640" w:firstLineChars="200"/>
        <w:jc w:val="left"/>
        <w:textAlignment w:val="auto"/>
        <w:outlineLvl w:val="1"/>
        <w:rPr>
          <w:rFonts w:ascii="仿宋_GB2312" w:eastAsia="仿宋_GB2312"/>
          <w:sz w:val="32"/>
          <w:szCs w:val="32"/>
        </w:rPr>
      </w:pPr>
      <w:r>
        <w:rPr>
          <w:rFonts w:hint="eastAsia" w:ascii="仿宋_GB2312" w:eastAsia="仿宋_GB2312"/>
          <w:sz w:val="32"/>
          <w:szCs w:val="32"/>
        </w:rPr>
        <w:t>1.管理制度</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45" w:name="bookmark17"/>
      <w:bookmarkEnd w:id="45"/>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46" w:name="bookmark18"/>
      <w:bookmarkEnd w:id="46"/>
      <w:r>
        <w:rPr>
          <w:rFonts w:hint="eastAsia" w:ascii="仿宋_GB2312" w:hAnsi="Times New Roman" w:eastAsia="仿宋_GB2312" w:cs="Times New Roman"/>
          <w:sz w:val="32"/>
          <w:szCs w:val="32"/>
          <w:lang w:eastAsia="zh-CN"/>
        </w:rPr>
        <w:t>2.过程管理</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 岗位实习总结报告等。</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bookmarkStart w:id="47" w:name="bookmark19"/>
      <w:bookmarkEnd w:id="47"/>
      <w:r>
        <w:rPr>
          <w:rFonts w:hint="eastAsia" w:ascii="仿宋_GB2312" w:hAnsi="Times New Roman" w:eastAsia="仿宋_GB2312" w:cs="Times New Roman"/>
          <w:sz w:val="32"/>
          <w:szCs w:val="32"/>
          <w:lang w:eastAsia="zh-CN"/>
        </w:rPr>
        <w:t>3.总结交流</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sz w:val="32"/>
          <w:szCs w:val="32"/>
          <w:lang w:eastAsia="zh-CN"/>
        </w:rPr>
        <w:sectPr>
          <w:pgSz w:w="11906" w:h="16838"/>
          <w:pgMar w:top="2041" w:right="1531" w:bottom="1985" w:left="1531" w:header="0" w:footer="1136" w:gutter="0"/>
          <w:pgNumType w:fmt="numberInDash"/>
          <w:cols w:space="720" w:num="1"/>
          <w:docGrid w:linePitch="286" w:charSpace="0"/>
        </w:sect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p>
      <w:pPr>
        <w:autoSpaceDE w:val="0"/>
        <w:adjustRightInd w:val="0"/>
        <w:snapToGrid w:val="0"/>
        <w:textAlignment w:val="baseline"/>
        <w:rPr>
          <w:rFonts w:ascii="方正小标宋简体" w:hAnsi="方正小标宋简体" w:eastAsia="方正小标宋简体" w:cs="方正小标宋简体"/>
          <w:kern w:val="0"/>
          <w:sz w:val="36"/>
          <w:szCs w:val="36"/>
          <w:shd w:val="clear" w:color="auto" w:fill="FFFFFF"/>
          <w:lang w:bidi="ar"/>
        </w:rPr>
      </w:pPr>
    </w:p>
    <w:sectPr>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9C9457E-24A1-4D36-BE39-4BDE11AEB370}"/>
  </w:font>
  <w:font w:name="黑体">
    <w:panose1 w:val="02010609060101010101"/>
    <w:charset w:val="86"/>
    <w:family w:val="auto"/>
    <w:pitch w:val="default"/>
    <w:sig w:usb0="800002BF" w:usb1="38CF7CFA" w:usb2="00000016" w:usb3="00000000" w:csb0="00040001" w:csb1="00000000"/>
    <w:embedRegular r:id="rId2" w:fontKey="{B864D1CA-0831-49D5-9CCE-3AA5F0DC6B2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46B5724-522B-4963-A334-6EC460C88AED}"/>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4" w:fontKey="{1928E219-CD04-48A2-9752-65AA00F413CF}"/>
  </w:font>
  <w:font w:name="仿宋_GB2312">
    <w:panose1 w:val="02010609030101010101"/>
    <w:charset w:val="86"/>
    <w:family w:val="modern"/>
    <w:pitch w:val="default"/>
    <w:sig w:usb0="00000001" w:usb1="080E0000" w:usb2="00000000" w:usb3="00000000" w:csb0="00040000" w:csb1="00000000"/>
    <w:embedRegular r:id="rId5" w:fontKey="{2D405991-8AC8-4713-ADB7-1DFAA08AD4E8}"/>
  </w:font>
  <w:font w:name="楷体_GB2312">
    <w:panose1 w:val="02010609030101010101"/>
    <w:charset w:val="86"/>
    <w:family w:val="modern"/>
    <w:pitch w:val="default"/>
    <w:sig w:usb0="00000001" w:usb1="080E0000" w:usb2="00000000" w:usb3="00000000" w:csb0="00040000" w:csb1="00000000"/>
    <w:embedRegular r:id="rId6" w:fontKey="{EFB509BA-CCBF-408C-A7EF-7512B0AF00B5}"/>
  </w:font>
  <w:font w:name="楷体">
    <w:panose1 w:val="02010609060101010101"/>
    <w:charset w:val="86"/>
    <w:family w:val="modern"/>
    <w:pitch w:val="default"/>
    <w:sig w:usb0="800002BF" w:usb1="38CF7CFA" w:usb2="00000016" w:usb3="00000000" w:csb0="00040001" w:csb1="00000000"/>
    <w:embedRegular r:id="rId7" w:fontKey="{5673702D-7934-4931-BEA3-16DE1EC0B51A}"/>
  </w:font>
  <w:font w:name="仿宋">
    <w:panose1 w:val="02010609060101010101"/>
    <w:charset w:val="86"/>
    <w:family w:val="modern"/>
    <w:pitch w:val="default"/>
    <w:sig w:usb0="800002BF" w:usb1="38CF7CFA" w:usb2="00000016" w:usb3="00000000" w:csb0="00040001" w:csb1="00000000"/>
    <w:embedRegular r:id="rId8" w:fontKey="{CCCA28C3-DD4C-4D53-8463-C699F942D9F2}"/>
  </w:font>
  <w:font w:name="方正小标宋_GBK">
    <w:panose1 w:val="02000000000000000000"/>
    <w:charset w:val="86"/>
    <w:family w:val="script"/>
    <w:pitch w:val="default"/>
    <w:sig w:usb0="A00002BF" w:usb1="38CF7CFA" w:usb2="00082016" w:usb3="00000000" w:csb0="00040001" w:csb1="00000000"/>
    <w:embedRegular r:id="rId9" w:fontKey="{0BB2E0E2-1190-40BC-81BD-CD55C950429B}"/>
  </w:font>
  <w:font w:name="微软雅黑">
    <w:panose1 w:val="020B0503020204020204"/>
    <w:charset w:val="86"/>
    <w:family w:val="swiss"/>
    <w:pitch w:val="default"/>
    <w:sig w:usb0="80000287" w:usb1="2ACF3C50" w:usb2="00000016" w:usb3="00000000" w:csb0="0004001F" w:csb1="00000000"/>
    <w:embedRegular r:id="rId10" w:fontKey="{AF85D461-78F9-4651-B966-DC1997F447F9}"/>
  </w:font>
  <w:font w:name="方正仿宋_GB2312">
    <w:panose1 w:val="02000000000000000000"/>
    <w:charset w:val="86"/>
    <w:family w:val="auto"/>
    <w:pitch w:val="default"/>
    <w:sig w:usb0="A00002BF" w:usb1="184F6CFA" w:usb2="00000012" w:usb3="00000000" w:csb0="00040001" w:csb1="00000000"/>
    <w:embedRegular r:id="rId11" w:fontKey="{E0BF8CD3-B9B0-4563-A92C-B7B8EA550202}"/>
  </w:font>
  <w:font w:name="Cambria">
    <w:panose1 w:val="02040503050406030204"/>
    <w:charset w:val="00"/>
    <w:family w:val="roman"/>
    <w:pitch w:val="default"/>
    <w:sig w:usb0="E00006FF" w:usb1="420024FF" w:usb2="02000000" w:usb3="00000000" w:csb0="2000019F" w:csb1="00000000"/>
    <w:embedRegular r:id="rId12" w:fontKey="{F8AC3B72-8B40-4F17-9D4F-089E72A89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1905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Style w:val="18"/>
                            </w:rPr>
                          </w:pPr>
                          <w:r>
                            <w:rPr>
                              <w:rStyle w:val="18"/>
                            </w:rPr>
                            <w:fldChar w:fldCharType="begin"/>
                          </w:r>
                          <w:r>
                            <w:rPr>
                              <w:rStyle w:val="18"/>
                            </w:rPr>
                            <w:instrText xml:space="preserve"> PAGE  \* MERGEFORMAT </w:instrText>
                          </w:r>
                          <w:r>
                            <w:rPr>
                              <w:rStyle w:val="18"/>
                            </w:rPr>
                            <w:fldChar w:fldCharType="separate"/>
                          </w:r>
                          <w:r>
                            <w:rPr>
                              <w:rStyle w:val="18"/>
                            </w:rPr>
                            <w:t>- 28 -</w:t>
                          </w:r>
                          <w:r>
                            <w:rPr>
                              <w:rStyle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144pt;mso-position-horizontal:center;mso-position-horizontal-relative:margin;mso-wrap-style:none;z-index:251670528;mso-width-relative:page;mso-height-relative:page;" filled="f" stroked="f" coordsize="21600,21600" o:gfxdata="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rwbxfSAAAABQEAAA8AAAAAAAAAAQAgAAAAIgAAAGRycy9kb3ducmV2LnhtbFBLAQIU&#10;ABQAAAAIAIdO4kCXWASIMgIAAGUEAAAOAAAAAAAAAAEAIAAAACEBAABkcnMvZTJvRG9jLnhtbFBL&#10;BQYAAAAABgAGAFkBAADFBQAAAAA=&#10;">
              <v:fill on="f" focussize="0,0"/>
              <v:stroke on="f" weight="0.5pt"/>
              <v:imagedata o:title=""/>
              <o:lock v:ext="edit" aspectratio="f"/>
              <v:textbox inset="0mm,0mm,0mm,0mm" style="mso-fit-shape-to-text:t;">
                <w:txbxContent>
                  <w:p>
                    <w:pPr>
                      <w:pStyle w:val="10"/>
                      <w:rPr>
                        <w:rStyle w:val="18"/>
                      </w:rPr>
                    </w:pPr>
                    <w:r>
                      <w:rPr>
                        <w:rStyle w:val="18"/>
                      </w:rPr>
                      <w:fldChar w:fldCharType="begin"/>
                    </w:r>
                    <w:r>
                      <w:rPr>
                        <w:rStyle w:val="18"/>
                      </w:rPr>
                      <w:instrText xml:space="preserve"> PAGE  \* MERGEFORMAT </w:instrText>
                    </w:r>
                    <w:r>
                      <w:rPr>
                        <w:rStyle w:val="18"/>
                      </w:rPr>
                      <w:fldChar w:fldCharType="separate"/>
                    </w:r>
                    <w:r>
                      <w:rPr>
                        <w:rStyle w:val="18"/>
                      </w:rPr>
                      <w:t>- 28 -</w:t>
                    </w:r>
                    <w:r>
                      <w:rPr>
                        <w:rStyle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1905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Style w:val="18"/>
                            </w:rPr>
                          </w:pPr>
                          <w:r>
                            <w:rPr>
                              <w:rStyle w:val="18"/>
                            </w:rPr>
                            <w:fldChar w:fldCharType="begin"/>
                          </w:r>
                          <w:r>
                            <w:rPr>
                              <w:rStyle w:val="18"/>
                            </w:rPr>
                            <w:instrText xml:space="preserve"> PAGE  \* MERGEFORMAT </w:instrText>
                          </w:r>
                          <w:r>
                            <w:rPr>
                              <w:rStyle w:val="18"/>
                            </w:rPr>
                            <w:fldChar w:fldCharType="separate"/>
                          </w:r>
                          <w:r>
                            <w:rPr>
                              <w:rStyle w:val="18"/>
                            </w:rPr>
                            <w:t>- 28 -</w:t>
                          </w:r>
                          <w:r>
                            <w:rPr>
                              <w:rStyle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144pt;mso-position-horizontal:center;mso-position-horizontal-relative:margin;mso-wrap-style:none;z-index:251666432;mso-width-relative:page;mso-height-relative:page;" filled="f" stroked="f" coordsize="21600,21600" o:gfxdata="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vBvF9IAAAAFAQAADwAAAAAAAAABACAAAAAiAAAAZHJzL2Rvd25yZXYueG1sUEsBAhQA&#10;FAAAAAgAh07iQCssitUxAgAAZQQAAA4AAAAAAAAAAQAgAAAAIQEAAGRycy9lMm9Eb2MueG1sUEsF&#10;BgAAAAAGAAYAWQEAAMQFAAAAAA==&#10;">
              <v:fill on="f" focussize="0,0"/>
              <v:stroke on="f" weight="0.5pt"/>
              <v:imagedata o:title=""/>
              <o:lock v:ext="edit" aspectratio="f"/>
              <v:textbox inset="0mm,0mm,0mm,0mm" style="mso-fit-shape-to-text:t;">
                <w:txbxContent>
                  <w:p>
                    <w:pPr>
                      <w:pStyle w:val="10"/>
                      <w:rPr>
                        <w:rStyle w:val="18"/>
                      </w:rPr>
                    </w:pPr>
                    <w:r>
                      <w:rPr>
                        <w:rStyle w:val="18"/>
                      </w:rPr>
                      <w:fldChar w:fldCharType="begin"/>
                    </w:r>
                    <w:r>
                      <w:rPr>
                        <w:rStyle w:val="18"/>
                      </w:rPr>
                      <w:instrText xml:space="preserve"> PAGE  \* MERGEFORMAT </w:instrText>
                    </w:r>
                    <w:r>
                      <w:rPr>
                        <w:rStyle w:val="18"/>
                      </w:rPr>
                      <w:fldChar w:fldCharType="separate"/>
                    </w:r>
                    <w:r>
                      <w:rPr>
                        <w:rStyle w:val="18"/>
                      </w:rPr>
                      <w:t>- 28 -</w:t>
                    </w:r>
                    <w:r>
                      <w:rPr>
                        <w:rStyle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1905</wp:posOffset>
              </wp:positionV>
              <wp:extent cx="543560" cy="1828800"/>
              <wp:effectExtent l="0" t="0" r="9525" b="0"/>
              <wp:wrapNone/>
              <wp:docPr id="9" name="文本框 9"/>
              <wp:cNvGraphicFramePr/>
              <a:graphic xmlns:a="http://schemas.openxmlformats.org/drawingml/2006/main">
                <a:graphicData uri="http://schemas.microsoft.com/office/word/2010/wordprocessingShape">
                  <wps:wsp>
                    <wps:cNvSpPr txBox="1"/>
                    <wps:spPr>
                      <a:xfrm>
                        <a:off x="0" y="0"/>
                        <a:ext cx="543464"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Style w:val="18"/>
                            </w:rPr>
                          </w:pPr>
                          <w:r>
                            <w:rPr>
                              <w:rStyle w:val="18"/>
                            </w:rPr>
                            <w:fldChar w:fldCharType="begin"/>
                          </w:r>
                          <w:r>
                            <w:rPr>
                              <w:rStyle w:val="18"/>
                            </w:rPr>
                            <w:instrText xml:space="preserve"> PAGE  \* MERGEFORMAT </w:instrText>
                          </w:r>
                          <w:r>
                            <w:rPr>
                              <w:rStyle w:val="18"/>
                            </w:rPr>
                            <w:fldChar w:fldCharType="separate"/>
                          </w:r>
                          <w:r>
                            <w:rPr>
                              <w:rStyle w:val="18"/>
                            </w:rPr>
                            <w:t>- 28 -</w:t>
                          </w:r>
                          <w:r>
                            <w:rPr>
                              <w:rStyle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42.8pt;mso-position-horizontal:center;mso-position-horizontal-relative:margin;z-index:251664384;mso-width-relative:page;mso-height-relative:page;" filled="f" stroked="f" coordsize="21600,21600" o:gfxdata="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VIA71AAAAAQBAAAPAAAAAAAAAAEAIAAAACIAAABkcnMvZG93bnJldi54bWxQ&#10;SwECFAAUAAAACACHTuJA8epQujQCAABWBAAADgAAAAAAAAABACAAAAAjAQAAZHJzL2Uyb0RvYy54&#10;bWxQSwUGAAAAAAYABgBZAQAAyQUAAAAA&#10;">
              <v:fill on="f" focussize="0,0"/>
              <v:stroke on="f" weight="0.5pt"/>
              <v:imagedata o:title=""/>
              <o:lock v:ext="edit" aspectratio="f"/>
              <v:textbox inset="0mm,0mm,0mm,0mm" style="mso-fit-shape-to-text:t;">
                <w:txbxContent>
                  <w:p>
                    <w:pPr>
                      <w:pStyle w:val="10"/>
                      <w:rPr>
                        <w:rStyle w:val="18"/>
                      </w:rPr>
                    </w:pPr>
                    <w:r>
                      <w:rPr>
                        <w:rStyle w:val="18"/>
                      </w:rPr>
                      <w:fldChar w:fldCharType="begin"/>
                    </w:r>
                    <w:r>
                      <w:rPr>
                        <w:rStyle w:val="18"/>
                      </w:rPr>
                      <w:instrText xml:space="preserve"> PAGE  \* MERGEFORMAT </w:instrText>
                    </w:r>
                    <w:r>
                      <w:rPr>
                        <w:rStyle w:val="18"/>
                      </w:rPr>
                      <w:fldChar w:fldCharType="separate"/>
                    </w:r>
                    <w:r>
                      <w:rPr>
                        <w:rStyle w:val="18"/>
                      </w:rPr>
                      <w:t>- 28 -</w:t>
                    </w:r>
                    <w:r>
                      <w:rPr>
                        <w:rStyle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1905</wp:posOffset>
              </wp:positionV>
              <wp:extent cx="491490" cy="1828800"/>
              <wp:effectExtent l="0" t="0" r="3810" b="0"/>
              <wp:wrapNone/>
              <wp:docPr id="21" name="文本框 21"/>
              <wp:cNvGraphicFramePr/>
              <a:graphic xmlns:a="http://schemas.openxmlformats.org/drawingml/2006/main">
                <a:graphicData uri="http://schemas.microsoft.com/office/word/2010/wordprocessingShape">
                  <wps:wsp>
                    <wps:cNvSpPr txBox="1"/>
                    <wps:spPr>
                      <a:xfrm>
                        <a:off x="0" y="0"/>
                        <a:ext cx="49170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- 57 -</w:t>
                          </w:r>
                          <w: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38.7pt;mso-position-horizontal:center;mso-position-horizontal-relative:margin;z-index:251665408;mso-width-relative:page;mso-height-relative:page;" filled="f" stroked="f" coordsize="21600,21600" o:gfxdata="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tq7Bz1AAAAAQBAAAPAAAAAAAAAAEAIAAAACIAAABkcnMvZG93bnJldi54bWxQ&#10;SwECFAAUAAAACACHTuJA7KHoGzQCAABYBAAADgAAAAAAAAABACAAAAAjAQAAZHJzL2Uyb0RvYy54&#10;bWxQSwUGAAAAAAYABgBZAQAAy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- 57 -</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rPr>
        <w:rFonts w:hint="eastAsia"/>
      </w:rPr>
    </w:lvl>
  </w:abstractNum>
  <w:abstractNum w:abstractNumId="1">
    <w:nsid w:val="C0920093"/>
    <w:multiLevelType w:val="singleLevel"/>
    <w:tmpl w:val="C0920093"/>
    <w:lvl w:ilvl="0" w:tentative="0">
      <w:start w:val="6"/>
      <w:numFmt w:val="chineseCounting"/>
      <w:suff w:val="nothing"/>
      <w:lvlText w:val="（%1）"/>
      <w:lvlJc w:val="left"/>
      <w:rPr>
        <w:rFonts w:hint="eastAsia"/>
      </w:rPr>
    </w:lvl>
  </w:abstractNum>
  <w:abstractNum w:abstractNumId="2">
    <w:nsid w:val="CBC76E8B"/>
    <w:multiLevelType w:val="singleLevel"/>
    <w:tmpl w:val="CBC76E8B"/>
    <w:lvl w:ilvl="0" w:tentative="0">
      <w:start w:val="1"/>
      <w:numFmt w:val="chineseCounting"/>
      <w:suff w:val="nothing"/>
      <w:lvlText w:val="（%1）"/>
      <w:lvlJc w:val="left"/>
      <w:rPr>
        <w:rFonts w:hint="eastAsia"/>
      </w:rPr>
    </w:lvl>
  </w:abstractNum>
  <w:abstractNum w:abstractNumId="3">
    <w:nsid w:val="D382E4EF"/>
    <w:multiLevelType w:val="singleLevel"/>
    <w:tmpl w:val="D382E4EF"/>
    <w:lvl w:ilvl="0" w:tentative="0">
      <w:start w:val="1"/>
      <w:numFmt w:val="chineseCounting"/>
      <w:suff w:val="nothing"/>
      <w:lvlText w:val="（%1）"/>
      <w:lvlJc w:val="left"/>
      <w:rPr>
        <w:rFonts w:hint="eastAsia"/>
      </w:rPr>
    </w:lvl>
  </w:abstractNum>
  <w:abstractNum w:abstractNumId="4">
    <w:nsid w:val="3D632C44"/>
    <w:multiLevelType w:val="singleLevel"/>
    <w:tmpl w:val="3D632C44"/>
    <w:lvl w:ilvl="0" w:tentative="0">
      <w:start w:val="1"/>
      <w:numFmt w:val="decimal"/>
      <w:lvlText w:val="%1."/>
      <w:lvlJc w:val="left"/>
      <w:pPr>
        <w:tabs>
          <w:tab w:val="left" w:pos="312"/>
        </w:tabs>
      </w:pPr>
    </w:lvl>
  </w:abstractNum>
  <w:abstractNum w:abstractNumId="5">
    <w:nsid w:val="546B77E1"/>
    <w:multiLevelType w:val="singleLevel"/>
    <w:tmpl w:val="546B77E1"/>
    <w:lvl w:ilvl="0" w:tentative="0">
      <w:start w:val="1"/>
      <w:numFmt w:val="decimal"/>
      <w:lvlText w:val="%1."/>
      <w:lvlJc w:val="left"/>
      <w:pPr>
        <w:tabs>
          <w:tab w:val="left" w:pos="312"/>
        </w:tabs>
      </w:p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44"/>
  <w:drawingGridVerticalSpacing w:val="435"/>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4EC94844"/>
    <w:rsid w:val="00000808"/>
    <w:rsid w:val="000051E5"/>
    <w:rsid w:val="00007BE5"/>
    <w:rsid w:val="00016ECE"/>
    <w:rsid w:val="000177C9"/>
    <w:rsid w:val="00030C93"/>
    <w:rsid w:val="000326D3"/>
    <w:rsid w:val="000326EE"/>
    <w:rsid w:val="0003491D"/>
    <w:rsid w:val="00035986"/>
    <w:rsid w:val="0003634A"/>
    <w:rsid w:val="00046901"/>
    <w:rsid w:val="00050E32"/>
    <w:rsid w:val="00055A11"/>
    <w:rsid w:val="00061E63"/>
    <w:rsid w:val="00063E3C"/>
    <w:rsid w:val="000661B6"/>
    <w:rsid w:val="00066A39"/>
    <w:rsid w:val="00070556"/>
    <w:rsid w:val="000738A9"/>
    <w:rsid w:val="000759BC"/>
    <w:rsid w:val="00077D2D"/>
    <w:rsid w:val="00080EB7"/>
    <w:rsid w:val="00082044"/>
    <w:rsid w:val="00083315"/>
    <w:rsid w:val="00083A0A"/>
    <w:rsid w:val="00085608"/>
    <w:rsid w:val="0008608A"/>
    <w:rsid w:val="0009051B"/>
    <w:rsid w:val="00095EF5"/>
    <w:rsid w:val="000A46EA"/>
    <w:rsid w:val="000A5109"/>
    <w:rsid w:val="000A524F"/>
    <w:rsid w:val="000A64BA"/>
    <w:rsid w:val="000B0063"/>
    <w:rsid w:val="000B0F9A"/>
    <w:rsid w:val="000B2704"/>
    <w:rsid w:val="000B3DA7"/>
    <w:rsid w:val="000B52EC"/>
    <w:rsid w:val="000C3116"/>
    <w:rsid w:val="000C46E5"/>
    <w:rsid w:val="000D01EB"/>
    <w:rsid w:val="000D0A73"/>
    <w:rsid w:val="000D1321"/>
    <w:rsid w:val="000D1595"/>
    <w:rsid w:val="000D290E"/>
    <w:rsid w:val="000D3DF3"/>
    <w:rsid w:val="000D4D48"/>
    <w:rsid w:val="000D4E12"/>
    <w:rsid w:val="000D5692"/>
    <w:rsid w:val="000E122F"/>
    <w:rsid w:val="000E3F62"/>
    <w:rsid w:val="000F193E"/>
    <w:rsid w:val="000F289A"/>
    <w:rsid w:val="000F3BEE"/>
    <w:rsid w:val="000F5FE8"/>
    <w:rsid w:val="000F6456"/>
    <w:rsid w:val="001002B3"/>
    <w:rsid w:val="00100303"/>
    <w:rsid w:val="00101366"/>
    <w:rsid w:val="0010241C"/>
    <w:rsid w:val="00102BCB"/>
    <w:rsid w:val="00103611"/>
    <w:rsid w:val="00111E1F"/>
    <w:rsid w:val="0011754B"/>
    <w:rsid w:val="00120184"/>
    <w:rsid w:val="0012094F"/>
    <w:rsid w:val="0012468A"/>
    <w:rsid w:val="00124BF1"/>
    <w:rsid w:val="00124ECC"/>
    <w:rsid w:val="001273D1"/>
    <w:rsid w:val="00130471"/>
    <w:rsid w:val="00130932"/>
    <w:rsid w:val="001315B3"/>
    <w:rsid w:val="00133710"/>
    <w:rsid w:val="00133C74"/>
    <w:rsid w:val="001413DD"/>
    <w:rsid w:val="001417AE"/>
    <w:rsid w:val="001418C9"/>
    <w:rsid w:val="00144A2D"/>
    <w:rsid w:val="00145920"/>
    <w:rsid w:val="001462A8"/>
    <w:rsid w:val="00150021"/>
    <w:rsid w:val="0015044E"/>
    <w:rsid w:val="00150B74"/>
    <w:rsid w:val="001515DD"/>
    <w:rsid w:val="0015369A"/>
    <w:rsid w:val="001556EA"/>
    <w:rsid w:val="00156163"/>
    <w:rsid w:val="00157DCB"/>
    <w:rsid w:val="001616D8"/>
    <w:rsid w:val="00164B3D"/>
    <w:rsid w:val="00170823"/>
    <w:rsid w:val="00177F40"/>
    <w:rsid w:val="00181275"/>
    <w:rsid w:val="0018567B"/>
    <w:rsid w:val="0019198E"/>
    <w:rsid w:val="001935E3"/>
    <w:rsid w:val="001939C3"/>
    <w:rsid w:val="001A067E"/>
    <w:rsid w:val="001A0894"/>
    <w:rsid w:val="001A14DA"/>
    <w:rsid w:val="001A378D"/>
    <w:rsid w:val="001A456E"/>
    <w:rsid w:val="001A47A3"/>
    <w:rsid w:val="001B13D6"/>
    <w:rsid w:val="001B529E"/>
    <w:rsid w:val="001B6265"/>
    <w:rsid w:val="001B789C"/>
    <w:rsid w:val="001C1E6F"/>
    <w:rsid w:val="001C21A2"/>
    <w:rsid w:val="001C2301"/>
    <w:rsid w:val="001C2F0D"/>
    <w:rsid w:val="001C5190"/>
    <w:rsid w:val="001C5FC2"/>
    <w:rsid w:val="001C6973"/>
    <w:rsid w:val="001D0ECE"/>
    <w:rsid w:val="001D2F92"/>
    <w:rsid w:val="001D30EB"/>
    <w:rsid w:val="001D3614"/>
    <w:rsid w:val="001D7916"/>
    <w:rsid w:val="001E5B15"/>
    <w:rsid w:val="001F2F79"/>
    <w:rsid w:val="001F3152"/>
    <w:rsid w:val="00205538"/>
    <w:rsid w:val="0021025B"/>
    <w:rsid w:val="002216AD"/>
    <w:rsid w:val="00221732"/>
    <w:rsid w:val="00221DF3"/>
    <w:rsid w:val="00221E78"/>
    <w:rsid w:val="00225AE5"/>
    <w:rsid w:val="00227659"/>
    <w:rsid w:val="00231EF6"/>
    <w:rsid w:val="00233F52"/>
    <w:rsid w:val="00236268"/>
    <w:rsid w:val="00237833"/>
    <w:rsid w:val="00240953"/>
    <w:rsid w:val="00244E5C"/>
    <w:rsid w:val="002460DA"/>
    <w:rsid w:val="002513A0"/>
    <w:rsid w:val="002625FD"/>
    <w:rsid w:val="00262D9C"/>
    <w:rsid w:val="00263220"/>
    <w:rsid w:val="00272636"/>
    <w:rsid w:val="002843C4"/>
    <w:rsid w:val="002861B6"/>
    <w:rsid w:val="0029250E"/>
    <w:rsid w:val="002934FA"/>
    <w:rsid w:val="0029458C"/>
    <w:rsid w:val="00294CC0"/>
    <w:rsid w:val="00295570"/>
    <w:rsid w:val="00295ACA"/>
    <w:rsid w:val="00296B48"/>
    <w:rsid w:val="002A02F1"/>
    <w:rsid w:val="002A261F"/>
    <w:rsid w:val="002A69D1"/>
    <w:rsid w:val="002B07DE"/>
    <w:rsid w:val="002B2047"/>
    <w:rsid w:val="002B4949"/>
    <w:rsid w:val="002C0076"/>
    <w:rsid w:val="002C05DC"/>
    <w:rsid w:val="002C3747"/>
    <w:rsid w:val="002C639F"/>
    <w:rsid w:val="002C6B7E"/>
    <w:rsid w:val="002C6ECC"/>
    <w:rsid w:val="002D10EF"/>
    <w:rsid w:val="002D2C4B"/>
    <w:rsid w:val="002D3CF5"/>
    <w:rsid w:val="002D3F43"/>
    <w:rsid w:val="002D6BE0"/>
    <w:rsid w:val="002E2EE1"/>
    <w:rsid w:val="002E635D"/>
    <w:rsid w:val="002E7029"/>
    <w:rsid w:val="002F2238"/>
    <w:rsid w:val="002F3B6E"/>
    <w:rsid w:val="002F60DD"/>
    <w:rsid w:val="003005C2"/>
    <w:rsid w:val="00301BB7"/>
    <w:rsid w:val="00304B25"/>
    <w:rsid w:val="003062A3"/>
    <w:rsid w:val="00310B9A"/>
    <w:rsid w:val="00310BE8"/>
    <w:rsid w:val="00311A5F"/>
    <w:rsid w:val="00315C09"/>
    <w:rsid w:val="00316AEE"/>
    <w:rsid w:val="0032098D"/>
    <w:rsid w:val="00321558"/>
    <w:rsid w:val="003242D9"/>
    <w:rsid w:val="00324517"/>
    <w:rsid w:val="00324D3C"/>
    <w:rsid w:val="003254BD"/>
    <w:rsid w:val="00330087"/>
    <w:rsid w:val="00333550"/>
    <w:rsid w:val="00333737"/>
    <w:rsid w:val="0033399E"/>
    <w:rsid w:val="00341609"/>
    <w:rsid w:val="0034269F"/>
    <w:rsid w:val="0034616E"/>
    <w:rsid w:val="003466E4"/>
    <w:rsid w:val="003475D9"/>
    <w:rsid w:val="00352D16"/>
    <w:rsid w:val="0035389C"/>
    <w:rsid w:val="00355123"/>
    <w:rsid w:val="003572B9"/>
    <w:rsid w:val="0035760E"/>
    <w:rsid w:val="00360DBE"/>
    <w:rsid w:val="00361820"/>
    <w:rsid w:val="0037121F"/>
    <w:rsid w:val="00373B9A"/>
    <w:rsid w:val="00375CB9"/>
    <w:rsid w:val="00375D7C"/>
    <w:rsid w:val="003770E8"/>
    <w:rsid w:val="003802E1"/>
    <w:rsid w:val="0038081B"/>
    <w:rsid w:val="003814A4"/>
    <w:rsid w:val="003849A8"/>
    <w:rsid w:val="00385F40"/>
    <w:rsid w:val="003901C7"/>
    <w:rsid w:val="0039030F"/>
    <w:rsid w:val="00391E86"/>
    <w:rsid w:val="00393583"/>
    <w:rsid w:val="00393C90"/>
    <w:rsid w:val="00394038"/>
    <w:rsid w:val="00395CD8"/>
    <w:rsid w:val="003A3F03"/>
    <w:rsid w:val="003A4934"/>
    <w:rsid w:val="003A6574"/>
    <w:rsid w:val="003A72FC"/>
    <w:rsid w:val="003B4345"/>
    <w:rsid w:val="003B4F8F"/>
    <w:rsid w:val="003B5779"/>
    <w:rsid w:val="003B5B49"/>
    <w:rsid w:val="003C3942"/>
    <w:rsid w:val="003C5C89"/>
    <w:rsid w:val="003D4CAE"/>
    <w:rsid w:val="003D6E44"/>
    <w:rsid w:val="003D7291"/>
    <w:rsid w:val="003D7903"/>
    <w:rsid w:val="003E410F"/>
    <w:rsid w:val="003E5FFA"/>
    <w:rsid w:val="003F4EBD"/>
    <w:rsid w:val="003F70BE"/>
    <w:rsid w:val="004000FC"/>
    <w:rsid w:val="0040088F"/>
    <w:rsid w:val="00406531"/>
    <w:rsid w:val="00406FE7"/>
    <w:rsid w:val="00410DD9"/>
    <w:rsid w:val="0041253F"/>
    <w:rsid w:val="0041371D"/>
    <w:rsid w:val="00414927"/>
    <w:rsid w:val="004168D3"/>
    <w:rsid w:val="00416AB1"/>
    <w:rsid w:val="004213D8"/>
    <w:rsid w:val="00423AF5"/>
    <w:rsid w:val="004242D9"/>
    <w:rsid w:val="004270D0"/>
    <w:rsid w:val="00427659"/>
    <w:rsid w:val="0043125B"/>
    <w:rsid w:val="00433884"/>
    <w:rsid w:val="0043441A"/>
    <w:rsid w:val="004344E6"/>
    <w:rsid w:val="00436A77"/>
    <w:rsid w:val="00437986"/>
    <w:rsid w:val="00440591"/>
    <w:rsid w:val="00441780"/>
    <w:rsid w:val="0044178D"/>
    <w:rsid w:val="0044372D"/>
    <w:rsid w:val="00445B12"/>
    <w:rsid w:val="004463BE"/>
    <w:rsid w:val="00450D6F"/>
    <w:rsid w:val="00451B33"/>
    <w:rsid w:val="0045543D"/>
    <w:rsid w:val="00455A5D"/>
    <w:rsid w:val="00455F33"/>
    <w:rsid w:val="00460F46"/>
    <w:rsid w:val="004637E8"/>
    <w:rsid w:val="00465F79"/>
    <w:rsid w:val="00470A93"/>
    <w:rsid w:val="00475B34"/>
    <w:rsid w:val="00475CB7"/>
    <w:rsid w:val="00476A04"/>
    <w:rsid w:val="004803EE"/>
    <w:rsid w:val="004823EF"/>
    <w:rsid w:val="004828BD"/>
    <w:rsid w:val="0048352D"/>
    <w:rsid w:val="0049347D"/>
    <w:rsid w:val="0049421E"/>
    <w:rsid w:val="00496EBC"/>
    <w:rsid w:val="004A018B"/>
    <w:rsid w:val="004A1C3A"/>
    <w:rsid w:val="004A2C2F"/>
    <w:rsid w:val="004A58F2"/>
    <w:rsid w:val="004A5E24"/>
    <w:rsid w:val="004B00D7"/>
    <w:rsid w:val="004B4642"/>
    <w:rsid w:val="004B4963"/>
    <w:rsid w:val="004B7C3C"/>
    <w:rsid w:val="004C2581"/>
    <w:rsid w:val="004C25F6"/>
    <w:rsid w:val="004C2B13"/>
    <w:rsid w:val="004C548C"/>
    <w:rsid w:val="004C6643"/>
    <w:rsid w:val="004C78E0"/>
    <w:rsid w:val="004D0F68"/>
    <w:rsid w:val="004D3168"/>
    <w:rsid w:val="004D6D59"/>
    <w:rsid w:val="004E10A6"/>
    <w:rsid w:val="004E3166"/>
    <w:rsid w:val="004E6039"/>
    <w:rsid w:val="004F4908"/>
    <w:rsid w:val="004F5BB6"/>
    <w:rsid w:val="005005D4"/>
    <w:rsid w:val="005009D2"/>
    <w:rsid w:val="005058DC"/>
    <w:rsid w:val="00505DFD"/>
    <w:rsid w:val="0051125D"/>
    <w:rsid w:val="00515CD6"/>
    <w:rsid w:val="00520F95"/>
    <w:rsid w:val="00521433"/>
    <w:rsid w:val="00523A22"/>
    <w:rsid w:val="0052620C"/>
    <w:rsid w:val="005263C1"/>
    <w:rsid w:val="00526778"/>
    <w:rsid w:val="00527747"/>
    <w:rsid w:val="005320E8"/>
    <w:rsid w:val="00533441"/>
    <w:rsid w:val="005343FA"/>
    <w:rsid w:val="00534B72"/>
    <w:rsid w:val="00540D5D"/>
    <w:rsid w:val="00546BA1"/>
    <w:rsid w:val="00546F9A"/>
    <w:rsid w:val="00552509"/>
    <w:rsid w:val="005561BB"/>
    <w:rsid w:val="005572EB"/>
    <w:rsid w:val="00561AF1"/>
    <w:rsid w:val="00561B5B"/>
    <w:rsid w:val="00564638"/>
    <w:rsid w:val="00573BD3"/>
    <w:rsid w:val="005747D1"/>
    <w:rsid w:val="00574E18"/>
    <w:rsid w:val="00576EBA"/>
    <w:rsid w:val="0057788A"/>
    <w:rsid w:val="00580716"/>
    <w:rsid w:val="005822A0"/>
    <w:rsid w:val="00583A54"/>
    <w:rsid w:val="00587E39"/>
    <w:rsid w:val="00591C35"/>
    <w:rsid w:val="005925A5"/>
    <w:rsid w:val="005A040D"/>
    <w:rsid w:val="005A1FFE"/>
    <w:rsid w:val="005A4713"/>
    <w:rsid w:val="005A77EB"/>
    <w:rsid w:val="005B39D2"/>
    <w:rsid w:val="005B7271"/>
    <w:rsid w:val="005B75EE"/>
    <w:rsid w:val="005B77C6"/>
    <w:rsid w:val="005C22BE"/>
    <w:rsid w:val="005C7DE5"/>
    <w:rsid w:val="005D0001"/>
    <w:rsid w:val="005D0746"/>
    <w:rsid w:val="005D166B"/>
    <w:rsid w:val="005D3156"/>
    <w:rsid w:val="005D403C"/>
    <w:rsid w:val="005D6E16"/>
    <w:rsid w:val="005D73C1"/>
    <w:rsid w:val="005E06F6"/>
    <w:rsid w:val="005E3E87"/>
    <w:rsid w:val="005E7A34"/>
    <w:rsid w:val="005F0150"/>
    <w:rsid w:val="005F3ED9"/>
    <w:rsid w:val="005F595E"/>
    <w:rsid w:val="005F6565"/>
    <w:rsid w:val="00600530"/>
    <w:rsid w:val="00601782"/>
    <w:rsid w:val="00602503"/>
    <w:rsid w:val="00605443"/>
    <w:rsid w:val="00606849"/>
    <w:rsid w:val="00607CD4"/>
    <w:rsid w:val="0061043C"/>
    <w:rsid w:val="006124C8"/>
    <w:rsid w:val="00613542"/>
    <w:rsid w:val="006136B1"/>
    <w:rsid w:val="00614AEC"/>
    <w:rsid w:val="00615C92"/>
    <w:rsid w:val="00616C8F"/>
    <w:rsid w:val="00622309"/>
    <w:rsid w:val="006225B8"/>
    <w:rsid w:val="00622B2B"/>
    <w:rsid w:val="006240A8"/>
    <w:rsid w:val="006272CE"/>
    <w:rsid w:val="00630CF1"/>
    <w:rsid w:val="00631656"/>
    <w:rsid w:val="00634763"/>
    <w:rsid w:val="00636413"/>
    <w:rsid w:val="00637163"/>
    <w:rsid w:val="00637BA0"/>
    <w:rsid w:val="00640C61"/>
    <w:rsid w:val="00647E23"/>
    <w:rsid w:val="006525C4"/>
    <w:rsid w:val="00653486"/>
    <w:rsid w:val="00653F0B"/>
    <w:rsid w:val="00654283"/>
    <w:rsid w:val="00660DDE"/>
    <w:rsid w:val="006621E7"/>
    <w:rsid w:val="00665A16"/>
    <w:rsid w:val="00675C58"/>
    <w:rsid w:val="00677236"/>
    <w:rsid w:val="00677C9B"/>
    <w:rsid w:val="0068066B"/>
    <w:rsid w:val="00683035"/>
    <w:rsid w:val="00683CE7"/>
    <w:rsid w:val="006854AD"/>
    <w:rsid w:val="0068604A"/>
    <w:rsid w:val="00687E3F"/>
    <w:rsid w:val="00690313"/>
    <w:rsid w:val="0069178E"/>
    <w:rsid w:val="0069350B"/>
    <w:rsid w:val="00696767"/>
    <w:rsid w:val="006970AC"/>
    <w:rsid w:val="006A31B8"/>
    <w:rsid w:val="006A38AF"/>
    <w:rsid w:val="006A6EAC"/>
    <w:rsid w:val="006C21A3"/>
    <w:rsid w:val="006C42E9"/>
    <w:rsid w:val="006C6B9A"/>
    <w:rsid w:val="006C7C1A"/>
    <w:rsid w:val="006D623E"/>
    <w:rsid w:val="006E1656"/>
    <w:rsid w:val="006E5A63"/>
    <w:rsid w:val="006E6581"/>
    <w:rsid w:val="006E7372"/>
    <w:rsid w:val="006F746E"/>
    <w:rsid w:val="00700464"/>
    <w:rsid w:val="0070198A"/>
    <w:rsid w:val="00703FA9"/>
    <w:rsid w:val="00704651"/>
    <w:rsid w:val="007060A5"/>
    <w:rsid w:val="00706ADB"/>
    <w:rsid w:val="00707690"/>
    <w:rsid w:val="00710E61"/>
    <w:rsid w:val="007151B3"/>
    <w:rsid w:val="00717A2A"/>
    <w:rsid w:val="007223B2"/>
    <w:rsid w:val="00722C0E"/>
    <w:rsid w:val="00723F29"/>
    <w:rsid w:val="00727E23"/>
    <w:rsid w:val="0073179A"/>
    <w:rsid w:val="00731DE1"/>
    <w:rsid w:val="00732866"/>
    <w:rsid w:val="007337D8"/>
    <w:rsid w:val="00735A52"/>
    <w:rsid w:val="0074051C"/>
    <w:rsid w:val="00753C7E"/>
    <w:rsid w:val="00757C5E"/>
    <w:rsid w:val="00763C1B"/>
    <w:rsid w:val="00764E35"/>
    <w:rsid w:val="007673ED"/>
    <w:rsid w:val="00770DE3"/>
    <w:rsid w:val="00771CF0"/>
    <w:rsid w:val="007725D9"/>
    <w:rsid w:val="00777080"/>
    <w:rsid w:val="007858A7"/>
    <w:rsid w:val="007858E0"/>
    <w:rsid w:val="00796E6A"/>
    <w:rsid w:val="00796FDE"/>
    <w:rsid w:val="007971D2"/>
    <w:rsid w:val="00797B80"/>
    <w:rsid w:val="00797F16"/>
    <w:rsid w:val="007A00E0"/>
    <w:rsid w:val="007A1233"/>
    <w:rsid w:val="007A75CB"/>
    <w:rsid w:val="007A7955"/>
    <w:rsid w:val="007B007C"/>
    <w:rsid w:val="007B275D"/>
    <w:rsid w:val="007B41C4"/>
    <w:rsid w:val="007B50AE"/>
    <w:rsid w:val="007B7A61"/>
    <w:rsid w:val="007C1478"/>
    <w:rsid w:val="007C1C16"/>
    <w:rsid w:val="007C24FC"/>
    <w:rsid w:val="007C3E2F"/>
    <w:rsid w:val="007C605E"/>
    <w:rsid w:val="007C6FAA"/>
    <w:rsid w:val="007C799C"/>
    <w:rsid w:val="007D226D"/>
    <w:rsid w:val="007D3418"/>
    <w:rsid w:val="007D4E63"/>
    <w:rsid w:val="007E3D26"/>
    <w:rsid w:val="007E5F0A"/>
    <w:rsid w:val="007F2019"/>
    <w:rsid w:val="007F2BFC"/>
    <w:rsid w:val="007F2DAE"/>
    <w:rsid w:val="007F3556"/>
    <w:rsid w:val="007F4269"/>
    <w:rsid w:val="007F4BB1"/>
    <w:rsid w:val="007F5002"/>
    <w:rsid w:val="0080456B"/>
    <w:rsid w:val="0080762A"/>
    <w:rsid w:val="00807E3A"/>
    <w:rsid w:val="00810298"/>
    <w:rsid w:val="00810EE3"/>
    <w:rsid w:val="0081785F"/>
    <w:rsid w:val="00824710"/>
    <w:rsid w:val="008248B2"/>
    <w:rsid w:val="00825CFA"/>
    <w:rsid w:val="00825D79"/>
    <w:rsid w:val="008301F1"/>
    <w:rsid w:val="00831EB1"/>
    <w:rsid w:val="008369D1"/>
    <w:rsid w:val="008421E1"/>
    <w:rsid w:val="00843562"/>
    <w:rsid w:val="00843CB9"/>
    <w:rsid w:val="00852591"/>
    <w:rsid w:val="00852A7F"/>
    <w:rsid w:val="008540EF"/>
    <w:rsid w:val="008542C3"/>
    <w:rsid w:val="00856C35"/>
    <w:rsid w:val="00857BED"/>
    <w:rsid w:val="008614DB"/>
    <w:rsid w:val="00862127"/>
    <w:rsid w:val="00864784"/>
    <w:rsid w:val="00866161"/>
    <w:rsid w:val="0086667C"/>
    <w:rsid w:val="008731F5"/>
    <w:rsid w:val="00874626"/>
    <w:rsid w:val="00875CCA"/>
    <w:rsid w:val="008765DD"/>
    <w:rsid w:val="008800B8"/>
    <w:rsid w:val="0088464F"/>
    <w:rsid w:val="0088502D"/>
    <w:rsid w:val="00885C0A"/>
    <w:rsid w:val="008915CA"/>
    <w:rsid w:val="0089372C"/>
    <w:rsid w:val="00893BDD"/>
    <w:rsid w:val="00893D97"/>
    <w:rsid w:val="00893E68"/>
    <w:rsid w:val="008968C1"/>
    <w:rsid w:val="00897BD0"/>
    <w:rsid w:val="008B14A1"/>
    <w:rsid w:val="008B1F5D"/>
    <w:rsid w:val="008B1FD7"/>
    <w:rsid w:val="008B43E6"/>
    <w:rsid w:val="008B61E5"/>
    <w:rsid w:val="008B7690"/>
    <w:rsid w:val="008C1284"/>
    <w:rsid w:val="008C2758"/>
    <w:rsid w:val="008C2E56"/>
    <w:rsid w:val="008C5048"/>
    <w:rsid w:val="008C680D"/>
    <w:rsid w:val="008D2407"/>
    <w:rsid w:val="008D2D80"/>
    <w:rsid w:val="008D6326"/>
    <w:rsid w:val="008D77A7"/>
    <w:rsid w:val="008E02E3"/>
    <w:rsid w:val="008E147A"/>
    <w:rsid w:val="008E1D05"/>
    <w:rsid w:val="008E22A9"/>
    <w:rsid w:val="008E5FAC"/>
    <w:rsid w:val="008E78A2"/>
    <w:rsid w:val="008F37E8"/>
    <w:rsid w:val="008F4524"/>
    <w:rsid w:val="008F5ABE"/>
    <w:rsid w:val="008F7C9B"/>
    <w:rsid w:val="00900C5C"/>
    <w:rsid w:val="00901D31"/>
    <w:rsid w:val="00902500"/>
    <w:rsid w:val="00902F7F"/>
    <w:rsid w:val="00906296"/>
    <w:rsid w:val="009068C8"/>
    <w:rsid w:val="009123F1"/>
    <w:rsid w:val="009141EB"/>
    <w:rsid w:val="00917C6F"/>
    <w:rsid w:val="00920145"/>
    <w:rsid w:val="00921D9F"/>
    <w:rsid w:val="00922CF7"/>
    <w:rsid w:val="00925A40"/>
    <w:rsid w:val="009265C7"/>
    <w:rsid w:val="00933212"/>
    <w:rsid w:val="009339CB"/>
    <w:rsid w:val="00933D58"/>
    <w:rsid w:val="009352BC"/>
    <w:rsid w:val="00936092"/>
    <w:rsid w:val="00937FCF"/>
    <w:rsid w:val="009420C9"/>
    <w:rsid w:val="009428B3"/>
    <w:rsid w:val="009479B9"/>
    <w:rsid w:val="00947D4A"/>
    <w:rsid w:val="00947E56"/>
    <w:rsid w:val="0095095F"/>
    <w:rsid w:val="00954712"/>
    <w:rsid w:val="00954725"/>
    <w:rsid w:val="0095653A"/>
    <w:rsid w:val="0096193E"/>
    <w:rsid w:val="00963E55"/>
    <w:rsid w:val="00963E90"/>
    <w:rsid w:val="00964A59"/>
    <w:rsid w:val="00965D83"/>
    <w:rsid w:val="00965DE1"/>
    <w:rsid w:val="00970065"/>
    <w:rsid w:val="00970C5F"/>
    <w:rsid w:val="00971090"/>
    <w:rsid w:val="00971C6D"/>
    <w:rsid w:val="009722B3"/>
    <w:rsid w:val="0097391F"/>
    <w:rsid w:val="00974CA0"/>
    <w:rsid w:val="00974F32"/>
    <w:rsid w:val="00975D66"/>
    <w:rsid w:val="0097604F"/>
    <w:rsid w:val="00980103"/>
    <w:rsid w:val="00982F4E"/>
    <w:rsid w:val="00991970"/>
    <w:rsid w:val="00992593"/>
    <w:rsid w:val="009926AB"/>
    <w:rsid w:val="00992FA5"/>
    <w:rsid w:val="009936EB"/>
    <w:rsid w:val="0099395F"/>
    <w:rsid w:val="00994C44"/>
    <w:rsid w:val="00994DF1"/>
    <w:rsid w:val="009955E9"/>
    <w:rsid w:val="009A03ED"/>
    <w:rsid w:val="009A1E1D"/>
    <w:rsid w:val="009A42F0"/>
    <w:rsid w:val="009A541B"/>
    <w:rsid w:val="009A70E6"/>
    <w:rsid w:val="009B0069"/>
    <w:rsid w:val="009B6C52"/>
    <w:rsid w:val="009B71FA"/>
    <w:rsid w:val="009C08C9"/>
    <w:rsid w:val="009C0AA7"/>
    <w:rsid w:val="009C3D87"/>
    <w:rsid w:val="009C4F29"/>
    <w:rsid w:val="009D09DF"/>
    <w:rsid w:val="009D0C67"/>
    <w:rsid w:val="009D2124"/>
    <w:rsid w:val="009D2893"/>
    <w:rsid w:val="009D2EF0"/>
    <w:rsid w:val="009D7718"/>
    <w:rsid w:val="009E20B9"/>
    <w:rsid w:val="009E25A6"/>
    <w:rsid w:val="009E3803"/>
    <w:rsid w:val="009E5EB4"/>
    <w:rsid w:val="009F44ED"/>
    <w:rsid w:val="009F6A0C"/>
    <w:rsid w:val="00A01971"/>
    <w:rsid w:val="00A06813"/>
    <w:rsid w:val="00A10B35"/>
    <w:rsid w:val="00A12741"/>
    <w:rsid w:val="00A15F29"/>
    <w:rsid w:val="00A16D2D"/>
    <w:rsid w:val="00A170C8"/>
    <w:rsid w:val="00A240D0"/>
    <w:rsid w:val="00A27C10"/>
    <w:rsid w:val="00A316D4"/>
    <w:rsid w:val="00A4142B"/>
    <w:rsid w:val="00A477F7"/>
    <w:rsid w:val="00A51E7D"/>
    <w:rsid w:val="00A52593"/>
    <w:rsid w:val="00A611B5"/>
    <w:rsid w:val="00A62570"/>
    <w:rsid w:val="00A63ACB"/>
    <w:rsid w:val="00A6720D"/>
    <w:rsid w:val="00A7019B"/>
    <w:rsid w:val="00A7648D"/>
    <w:rsid w:val="00A77B22"/>
    <w:rsid w:val="00A8316C"/>
    <w:rsid w:val="00A84DF2"/>
    <w:rsid w:val="00A8738F"/>
    <w:rsid w:val="00A87647"/>
    <w:rsid w:val="00A90A8F"/>
    <w:rsid w:val="00A90FBD"/>
    <w:rsid w:val="00A91DD5"/>
    <w:rsid w:val="00A91DE2"/>
    <w:rsid w:val="00A94098"/>
    <w:rsid w:val="00A95419"/>
    <w:rsid w:val="00A96A02"/>
    <w:rsid w:val="00AA0DB8"/>
    <w:rsid w:val="00AA1847"/>
    <w:rsid w:val="00AA18AF"/>
    <w:rsid w:val="00AA33C7"/>
    <w:rsid w:val="00AA507A"/>
    <w:rsid w:val="00AA533F"/>
    <w:rsid w:val="00AA57BD"/>
    <w:rsid w:val="00AA5BA4"/>
    <w:rsid w:val="00AA65DD"/>
    <w:rsid w:val="00AA6FDA"/>
    <w:rsid w:val="00AB10F2"/>
    <w:rsid w:val="00AB13D0"/>
    <w:rsid w:val="00AB33EF"/>
    <w:rsid w:val="00AB45B4"/>
    <w:rsid w:val="00AB58EC"/>
    <w:rsid w:val="00AB6D7A"/>
    <w:rsid w:val="00AB7236"/>
    <w:rsid w:val="00AC14C4"/>
    <w:rsid w:val="00AC2F37"/>
    <w:rsid w:val="00AC334F"/>
    <w:rsid w:val="00AC7A25"/>
    <w:rsid w:val="00AC7C28"/>
    <w:rsid w:val="00AD0422"/>
    <w:rsid w:val="00AD0948"/>
    <w:rsid w:val="00AD2DFB"/>
    <w:rsid w:val="00AE0E89"/>
    <w:rsid w:val="00AF0CF8"/>
    <w:rsid w:val="00AF4233"/>
    <w:rsid w:val="00AF61EB"/>
    <w:rsid w:val="00B00400"/>
    <w:rsid w:val="00B02526"/>
    <w:rsid w:val="00B078DA"/>
    <w:rsid w:val="00B12AA7"/>
    <w:rsid w:val="00B14590"/>
    <w:rsid w:val="00B176E7"/>
    <w:rsid w:val="00B20147"/>
    <w:rsid w:val="00B21971"/>
    <w:rsid w:val="00B2522A"/>
    <w:rsid w:val="00B35634"/>
    <w:rsid w:val="00B41063"/>
    <w:rsid w:val="00B420E5"/>
    <w:rsid w:val="00B43C43"/>
    <w:rsid w:val="00B44CA9"/>
    <w:rsid w:val="00B52F82"/>
    <w:rsid w:val="00B54F2D"/>
    <w:rsid w:val="00B57F09"/>
    <w:rsid w:val="00B60AD4"/>
    <w:rsid w:val="00B61F76"/>
    <w:rsid w:val="00B62CCD"/>
    <w:rsid w:val="00B67659"/>
    <w:rsid w:val="00B716DD"/>
    <w:rsid w:val="00B73CFF"/>
    <w:rsid w:val="00B7668A"/>
    <w:rsid w:val="00B8109E"/>
    <w:rsid w:val="00B824E7"/>
    <w:rsid w:val="00B9383D"/>
    <w:rsid w:val="00B94298"/>
    <w:rsid w:val="00B9726B"/>
    <w:rsid w:val="00B972DB"/>
    <w:rsid w:val="00BA35DF"/>
    <w:rsid w:val="00BA37D2"/>
    <w:rsid w:val="00BA77CF"/>
    <w:rsid w:val="00BB3837"/>
    <w:rsid w:val="00BB45C1"/>
    <w:rsid w:val="00BC089A"/>
    <w:rsid w:val="00BC1016"/>
    <w:rsid w:val="00BD2AC3"/>
    <w:rsid w:val="00BD4047"/>
    <w:rsid w:val="00BD5342"/>
    <w:rsid w:val="00BD79F3"/>
    <w:rsid w:val="00BE17AA"/>
    <w:rsid w:val="00BE778F"/>
    <w:rsid w:val="00BF3A07"/>
    <w:rsid w:val="00BF595F"/>
    <w:rsid w:val="00BF6E27"/>
    <w:rsid w:val="00C015F2"/>
    <w:rsid w:val="00C103CE"/>
    <w:rsid w:val="00C138C9"/>
    <w:rsid w:val="00C17EBC"/>
    <w:rsid w:val="00C24E9E"/>
    <w:rsid w:val="00C26405"/>
    <w:rsid w:val="00C27F15"/>
    <w:rsid w:val="00C27FEC"/>
    <w:rsid w:val="00C324FE"/>
    <w:rsid w:val="00C427DB"/>
    <w:rsid w:val="00C46939"/>
    <w:rsid w:val="00C527F6"/>
    <w:rsid w:val="00C52B45"/>
    <w:rsid w:val="00C54715"/>
    <w:rsid w:val="00C60177"/>
    <w:rsid w:val="00C60B3B"/>
    <w:rsid w:val="00C61E52"/>
    <w:rsid w:val="00C66436"/>
    <w:rsid w:val="00C7140E"/>
    <w:rsid w:val="00C75159"/>
    <w:rsid w:val="00C777E8"/>
    <w:rsid w:val="00C8091D"/>
    <w:rsid w:val="00C817A3"/>
    <w:rsid w:val="00C87F4F"/>
    <w:rsid w:val="00C91A8E"/>
    <w:rsid w:val="00C92014"/>
    <w:rsid w:val="00C92453"/>
    <w:rsid w:val="00C954BC"/>
    <w:rsid w:val="00C958AA"/>
    <w:rsid w:val="00C97092"/>
    <w:rsid w:val="00CA04A5"/>
    <w:rsid w:val="00CA3059"/>
    <w:rsid w:val="00CA32F9"/>
    <w:rsid w:val="00CA3A56"/>
    <w:rsid w:val="00CA4DC5"/>
    <w:rsid w:val="00CB0457"/>
    <w:rsid w:val="00CB10ED"/>
    <w:rsid w:val="00CB1CE9"/>
    <w:rsid w:val="00CB3020"/>
    <w:rsid w:val="00CB5818"/>
    <w:rsid w:val="00CB74F6"/>
    <w:rsid w:val="00CB7983"/>
    <w:rsid w:val="00CC10F9"/>
    <w:rsid w:val="00CC1369"/>
    <w:rsid w:val="00CC31BF"/>
    <w:rsid w:val="00CC3A07"/>
    <w:rsid w:val="00CC46C9"/>
    <w:rsid w:val="00CC59AF"/>
    <w:rsid w:val="00CC61DF"/>
    <w:rsid w:val="00CC6485"/>
    <w:rsid w:val="00CC7866"/>
    <w:rsid w:val="00CC78F0"/>
    <w:rsid w:val="00CD4782"/>
    <w:rsid w:val="00CD548D"/>
    <w:rsid w:val="00CE025D"/>
    <w:rsid w:val="00CE0350"/>
    <w:rsid w:val="00CE0440"/>
    <w:rsid w:val="00CE12A1"/>
    <w:rsid w:val="00CE1514"/>
    <w:rsid w:val="00CE22A2"/>
    <w:rsid w:val="00CE22EF"/>
    <w:rsid w:val="00CE6060"/>
    <w:rsid w:val="00CE6FF5"/>
    <w:rsid w:val="00CF4018"/>
    <w:rsid w:val="00CF7198"/>
    <w:rsid w:val="00CF74BE"/>
    <w:rsid w:val="00D00737"/>
    <w:rsid w:val="00D008F1"/>
    <w:rsid w:val="00D03D9D"/>
    <w:rsid w:val="00D05722"/>
    <w:rsid w:val="00D05EAB"/>
    <w:rsid w:val="00D079CF"/>
    <w:rsid w:val="00D12742"/>
    <w:rsid w:val="00D15740"/>
    <w:rsid w:val="00D204D1"/>
    <w:rsid w:val="00D21F41"/>
    <w:rsid w:val="00D30013"/>
    <w:rsid w:val="00D328D6"/>
    <w:rsid w:val="00D3360C"/>
    <w:rsid w:val="00D349E7"/>
    <w:rsid w:val="00D407E3"/>
    <w:rsid w:val="00D41000"/>
    <w:rsid w:val="00D42739"/>
    <w:rsid w:val="00D46C88"/>
    <w:rsid w:val="00D501D4"/>
    <w:rsid w:val="00D51B7D"/>
    <w:rsid w:val="00D51F8F"/>
    <w:rsid w:val="00D547C9"/>
    <w:rsid w:val="00D54B88"/>
    <w:rsid w:val="00D55705"/>
    <w:rsid w:val="00D62003"/>
    <w:rsid w:val="00D66A14"/>
    <w:rsid w:val="00D66CA9"/>
    <w:rsid w:val="00D70BCD"/>
    <w:rsid w:val="00D7105A"/>
    <w:rsid w:val="00D75A43"/>
    <w:rsid w:val="00D77459"/>
    <w:rsid w:val="00D83E80"/>
    <w:rsid w:val="00D84AF0"/>
    <w:rsid w:val="00D95ED5"/>
    <w:rsid w:val="00DA35A4"/>
    <w:rsid w:val="00DA4DD4"/>
    <w:rsid w:val="00DA5419"/>
    <w:rsid w:val="00DB3858"/>
    <w:rsid w:val="00DB4FA2"/>
    <w:rsid w:val="00DB5FBD"/>
    <w:rsid w:val="00DB6133"/>
    <w:rsid w:val="00DC16B9"/>
    <w:rsid w:val="00DC1A25"/>
    <w:rsid w:val="00DC722C"/>
    <w:rsid w:val="00DC7531"/>
    <w:rsid w:val="00DD2ABD"/>
    <w:rsid w:val="00DD366B"/>
    <w:rsid w:val="00DD418A"/>
    <w:rsid w:val="00DD53C1"/>
    <w:rsid w:val="00DD7CDB"/>
    <w:rsid w:val="00DE4A5E"/>
    <w:rsid w:val="00DE61CE"/>
    <w:rsid w:val="00DE7628"/>
    <w:rsid w:val="00DF0111"/>
    <w:rsid w:val="00DF2712"/>
    <w:rsid w:val="00DF30EC"/>
    <w:rsid w:val="00DF49CD"/>
    <w:rsid w:val="00DF7AD7"/>
    <w:rsid w:val="00E00048"/>
    <w:rsid w:val="00E017B0"/>
    <w:rsid w:val="00E064F5"/>
    <w:rsid w:val="00E075C7"/>
    <w:rsid w:val="00E07A82"/>
    <w:rsid w:val="00E14040"/>
    <w:rsid w:val="00E1590E"/>
    <w:rsid w:val="00E16FE7"/>
    <w:rsid w:val="00E175F9"/>
    <w:rsid w:val="00E200CD"/>
    <w:rsid w:val="00E24DCF"/>
    <w:rsid w:val="00E2619A"/>
    <w:rsid w:val="00E3013E"/>
    <w:rsid w:val="00E31BDD"/>
    <w:rsid w:val="00E3369B"/>
    <w:rsid w:val="00E33B1E"/>
    <w:rsid w:val="00E3547F"/>
    <w:rsid w:val="00E423B9"/>
    <w:rsid w:val="00E450FF"/>
    <w:rsid w:val="00E46832"/>
    <w:rsid w:val="00E46AA7"/>
    <w:rsid w:val="00E551E5"/>
    <w:rsid w:val="00E562E6"/>
    <w:rsid w:val="00E604E9"/>
    <w:rsid w:val="00E646C9"/>
    <w:rsid w:val="00E665C4"/>
    <w:rsid w:val="00E673C2"/>
    <w:rsid w:val="00E7016D"/>
    <w:rsid w:val="00E73D77"/>
    <w:rsid w:val="00E73E48"/>
    <w:rsid w:val="00E74682"/>
    <w:rsid w:val="00E8011A"/>
    <w:rsid w:val="00E82BD1"/>
    <w:rsid w:val="00E870F0"/>
    <w:rsid w:val="00E87889"/>
    <w:rsid w:val="00E90520"/>
    <w:rsid w:val="00E93DF2"/>
    <w:rsid w:val="00E94499"/>
    <w:rsid w:val="00E9709D"/>
    <w:rsid w:val="00E97E51"/>
    <w:rsid w:val="00EB3D2F"/>
    <w:rsid w:val="00EB44E4"/>
    <w:rsid w:val="00EB75F3"/>
    <w:rsid w:val="00EC2D11"/>
    <w:rsid w:val="00EC512E"/>
    <w:rsid w:val="00EC6924"/>
    <w:rsid w:val="00ED102F"/>
    <w:rsid w:val="00ED4E73"/>
    <w:rsid w:val="00EE32D9"/>
    <w:rsid w:val="00EE6E6C"/>
    <w:rsid w:val="00EF35F9"/>
    <w:rsid w:val="00F061FD"/>
    <w:rsid w:val="00F07708"/>
    <w:rsid w:val="00F1048D"/>
    <w:rsid w:val="00F104D1"/>
    <w:rsid w:val="00F13017"/>
    <w:rsid w:val="00F161D7"/>
    <w:rsid w:val="00F16A68"/>
    <w:rsid w:val="00F17DEC"/>
    <w:rsid w:val="00F20229"/>
    <w:rsid w:val="00F207B0"/>
    <w:rsid w:val="00F223DA"/>
    <w:rsid w:val="00F23303"/>
    <w:rsid w:val="00F2414C"/>
    <w:rsid w:val="00F31254"/>
    <w:rsid w:val="00F37BE9"/>
    <w:rsid w:val="00F44D7D"/>
    <w:rsid w:val="00F46BBE"/>
    <w:rsid w:val="00F509A2"/>
    <w:rsid w:val="00F50BBE"/>
    <w:rsid w:val="00F517D5"/>
    <w:rsid w:val="00F52826"/>
    <w:rsid w:val="00F52A71"/>
    <w:rsid w:val="00F52DC0"/>
    <w:rsid w:val="00F5324F"/>
    <w:rsid w:val="00F53D79"/>
    <w:rsid w:val="00F63DAF"/>
    <w:rsid w:val="00F6495D"/>
    <w:rsid w:val="00F6503F"/>
    <w:rsid w:val="00F67AF3"/>
    <w:rsid w:val="00F67AFC"/>
    <w:rsid w:val="00F706B3"/>
    <w:rsid w:val="00F740CA"/>
    <w:rsid w:val="00F75E03"/>
    <w:rsid w:val="00F85693"/>
    <w:rsid w:val="00F87306"/>
    <w:rsid w:val="00F90A1A"/>
    <w:rsid w:val="00F92120"/>
    <w:rsid w:val="00F92D33"/>
    <w:rsid w:val="00F97275"/>
    <w:rsid w:val="00FB012D"/>
    <w:rsid w:val="00FB06AD"/>
    <w:rsid w:val="00FB3F99"/>
    <w:rsid w:val="00FB51CA"/>
    <w:rsid w:val="00FB7344"/>
    <w:rsid w:val="00FC1C2A"/>
    <w:rsid w:val="00FC2E6D"/>
    <w:rsid w:val="00FC3043"/>
    <w:rsid w:val="00FC7BA3"/>
    <w:rsid w:val="00FD0072"/>
    <w:rsid w:val="00FD0265"/>
    <w:rsid w:val="00FD19C0"/>
    <w:rsid w:val="00FD3457"/>
    <w:rsid w:val="00FD465A"/>
    <w:rsid w:val="00FF131B"/>
    <w:rsid w:val="00FF1A9C"/>
    <w:rsid w:val="00FF3DC7"/>
    <w:rsid w:val="00FF75A3"/>
    <w:rsid w:val="01311D17"/>
    <w:rsid w:val="013B0DE8"/>
    <w:rsid w:val="013D6280"/>
    <w:rsid w:val="014D21B8"/>
    <w:rsid w:val="014F6641"/>
    <w:rsid w:val="017A16F1"/>
    <w:rsid w:val="01814321"/>
    <w:rsid w:val="01AC3A93"/>
    <w:rsid w:val="01F92046"/>
    <w:rsid w:val="02353087"/>
    <w:rsid w:val="02355837"/>
    <w:rsid w:val="02466C72"/>
    <w:rsid w:val="02590097"/>
    <w:rsid w:val="02924A37"/>
    <w:rsid w:val="02AB5AF9"/>
    <w:rsid w:val="02D768EE"/>
    <w:rsid w:val="02D7696B"/>
    <w:rsid w:val="031B2C7F"/>
    <w:rsid w:val="03200295"/>
    <w:rsid w:val="03647097"/>
    <w:rsid w:val="03963644"/>
    <w:rsid w:val="039B4330"/>
    <w:rsid w:val="03D26FB6"/>
    <w:rsid w:val="04FC6AE0"/>
    <w:rsid w:val="0501370E"/>
    <w:rsid w:val="054162A1"/>
    <w:rsid w:val="054D2E98"/>
    <w:rsid w:val="054D6A14"/>
    <w:rsid w:val="058C27C0"/>
    <w:rsid w:val="05B178CA"/>
    <w:rsid w:val="05B7054C"/>
    <w:rsid w:val="05C173E2"/>
    <w:rsid w:val="05CE0532"/>
    <w:rsid w:val="05F31C91"/>
    <w:rsid w:val="05F61781"/>
    <w:rsid w:val="06001634"/>
    <w:rsid w:val="060F45F1"/>
    <w:rsid w:val="06314567"/>
    <w:rsid w:val="0686237C"/>
    <w:rsid w:val="06954AF6"/>
    <w:rsid w:val="06A55A83"/>
    <w:rsid w:val="06B56F46"/>
    <w:rsid w:val="06B86A37"/>
    <w:rsid w:val="06C70A28"/>
    <w:rsid w:val="06D41C0B"/>
    <w:rsid w:val="06DB44D3"/>
    <w:rsid w:val="06E11AE9"/>
    <w:rsid w:val="06E670D4"/>
    <w:rsid w:val="07107A01"/>
    <w:rsid w:val="0737795B"/>
    <w:rsid w:val="0755531E"/>
    <w:rsid w:val="075D7207"/>
    <w:rsid w:val="0760636A"/>
    <w:rsid w:val="07775550"/>
    <w:rsid w:val="07802062"/>
    <w:rsid w:val="079052BE"/>
    <w:rsid w:val="079270C9"/>
    <w:rsid w:val="079E5C2C"/>
    <w:rsid w:val="07C12195"/>
    <w:rsid w:val="07CC279A"/>
    <w:rsid w:val="07F3586E"/>
    <w:rsid w:val="07F43A9E"/>
    <w:rsid w:val="081051A4"/>
    <w:rsid w:val="085207C5"/>
    <w:rsid w:val="08566A1E"/>
    <w:rsid w:val="086B7012"/>
    <w:rsid w:val="087F76A4"/>
    <w:rsid w:val="08876C3D"/>
    <w:rsid w:val="08AB6107"/>
    <w:rsid w:val="08AD7EA6"/>
    <w:rsid w:val="08CA4DCB"/>
    <w:rsid w:val="08D77648"/>
    <w:rsid w:val="08DE30FD"/>
    <w:rsid w:val="08EB6813"/>
    <w:rsid w:val="08F06A48"/>
    <w:rsid w:val="08FB0871"/>
    <w:rsid w:val="09151F1E"/>
    <w:rsid w:val="0932487E"/>
    <w:rsid w:val="0935611C"/>
    <w:rsid w:val="093738EA"/>
    <w:rsid w:val="09434CDD"/>
    <w:rsid w:val="09727371"/>
    <w:rsid w:val="097906FF"/>
    <w:rsid w:val="09864BCA"/>
    <w:rsid w:val="09AB4631"/>
    <w:rsid w:val="09C15C02"/>
    <w:rsid w:val="09C32DBD"/>
    <w:rsid w:val="09C676BC"/>
    <w:rsid w:val="09DE547F"/>
    <w:rsid w:val="09F41468"/>
    <w:rsid w:val="0A05611E"/>
    <w:rsid w:val="0A0A00B0"/>
    <w:rsid w:val="0A2D3298"/>
    <w:rsid w:val="0A3463D4"/>
    <w:rsid w:val="0A36114C"/>
    <w:rsid w:val="0A556F05"/>
    <w:rsid w:val="0A9D2046"/>
    <w:rsid w:val="0AAD010A"/>
    <w:rsid w:val="0ABA2D7D"/>
    <w:rsid w:val="0AEC6126"/>
    <w:rsid w:val="0B077F8D"/>
    <w:rsid w:val="0B122F3A"/>
    <w:rsid w:val="0B7D3DAB"/>
    <w:rsid w:val="0B883C36"/>
    <w:rsid w:val="0B8F2117"/>
    <w:rsid w:val="0B9E444D"/>
    <w:rsid w:val="0BA17A99"/>
    <w:rsid w:val="0BA63302"/>
    <w:rsid w:val="0C25691C"/>
    <w:rsid w:val="0C421CC7"/>
    <w:rsid w:val="0C542D5E"/>
    <w:rsid w:val="0C5C1C12"/>
    <w:rsid w:val="0C605BA6"/>
    <w:rsid w:val="0C796C68"/>
    <w:rsid w:val="0C803B53"/>
    <w:rsid w:val="0C8837E8"/>
    <w:rsid w:val="0C923562"/>
    <w:rsid w:val="0CD93263"/>
    <w:rsid w:val="0CF20312"/>
    <w:rsid w:val="0D1D167E"/>
    <w:rsid w:val="0D865C68"/>
    <w:rsid w:val="0DA76EF7"/>
    <w:rsid w:val="0E016238"/>
    <w:rsid w:val="0E782D35"/>
    <w:rsid w:val="0EA37FCC"/>
    <w:rsid w:val="0EAD041A"/>
    <w:rsid w:val="0EB6385C"/>
    <w:rsid w:val="0EBE66C8"/>
    <w:rsid w:val="0ECC26BE"/>
    <w:rsid w:val="0EEC4C7F"/>
    <w:rsid w:val="0EEC7088"/>
    <w:rsid w:val="0EED1247"/>
    <w:rsid w:val="0EEF6D6E"/>
    <w:rsid w:val="0EF97BEC"/>
    <w:rsid w:val="0F0740B7"/>
    <w:rsid w:val="0F470958"/>
    <w:rsid w:val="0F4F5A5E"/>
    <w:rsid w:val="0F59068B"/>
    <w:rsid w:val="0F8676D2"/>
    <w:rsid w:val="0F8737DE"/>
    <w:rsid w:val="0FBA737B"/>
    <w:rsid w:val="0FD541B5"/>
    <w:rsid w:val="0FD97FCA"/>
    <w:rsid w:val="0FDE750E"/>
    <w:rsid w:val="10022918"/>
    <w:rsid w:val="10172A20"/>
    <w:rsid w:val="1032010A"/>
    <w:rsid w:val="10341166"/>
    <w:rsid w:val="103A6D61"/>
    <w:rsid w:val="10414385"/>
    <w:rsid w:val="10826527"/>
    <w:rsid w:val="108C2A50"/>
    <w:rsid w:val="10923E54"/>
    <w:rsid w:val="10B71B0D"/>
    <w:rsid w:val="10CB7366"/>
    <w:rsid w:val="10E11279"/>
    <w:rsid w:val="110B69CC"/>
    <w:rsid w:val="11126ECE"/>
    <w:rsid w:val="11166833"/>
    <w:rsid w:val="112371A2"/>
    <w:rsid w:val="1146319E"/>
    <w:rsid w:val="115A134C"/>
    <w:rsid w:val="11943BFC"/>
    <w:rsid w:val="11973128"/>
    <w:rsid w:val="119D51A7"/>
    <w:rsid w:val="11AF709B"/>
    <w:rsid w:val="11D34725"/>
    <w:rsid w:val="11E20E0C"/>
    <w:rsid w:val="11EC3A38"/>
    <w:rsid w:val="11F748B7"/>
    <w:rsid w:val="1225795C"/>
    <w:rsid w:val="127E28E2"/>
    <w:rsid w:val="12956B0A"/>
    <w:rsid w:val="12963118"/>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706BA3"/>
    <w:rsid w:val="147E306D"/>
    <w:rsid w:val="14900FF3"/>
    <w:rsid w:val="149B5DB4"/>
    <w:rsid w:val="14B3099F"/>
    <w:rsid w:val="14C34F24"/>
    <w:rsid w:val="14CB202B"/>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D71AE7"/>
    <w:rsid w:val="160939A2"/>
    <w:rsid w:val="160B0931"/>
    <w:rsid w:val="161A5018"/>
    <w:rsid w:val="1641578F"/>
    <w:rsid w:val="166D339A"/>
    <w:rsid w:val="16B965DF"/>
    <w:rsid w:val="16BE26F7"/>
    <w:rsid w:val="16E946F7"/>
    <w:rsid w:val="16EB2510"/>
    <w:rsid w:val="16FB6BF7"/>
    <w:rsid w:val="17057A40"/>
    <w:rsid w:val="17173305"/>
    <w:rsid w:val="172F4AF3"/>
    <w:rsid w:val="174F484D"/>
    <w:rsid w:val="177F789E"/>
    <w:rsid w:val="17A50911"/>
    <w:rsid w:val="17C47C4D"/>
    <w:rsid w:val="17CA0378"/>
    <w:rsid w:val="17D124FB"/>
    <w:rsid w:val="17D3547E"/>
    <w:rsid w:val="17EC6540"/>
    <w:rsid w:val="17F200CF"/>
    <w:rsid w:val="18100480"/>
    <w:rsid w:val="18147845"/>
    <w:rsid w:val="181A12FF"/>
    <w:rsid w:val="18697B91"/>
    <w:rsid w:val="186D1037"/>
    <w:rsid w:val="188869F8"/>
    <w:rsid w:val="18DD40DB"/>
    <w:rsid w:val="18E5190D"/>
    <w:rsid w:val="18E86D07"/>
    <w:rsid w:val="18F305D7"/>
    <w:rsid w:val="19063631"/>
    <w:rsid w:val="19205339"/>
    <w:rsid w:val="193321B6"/>
    <w:rsid w:val="1937619F"/>
    <w:rsid w:val="194B54E8"/>
    <w:rsid w:val="195A572B"/>
    <w:rsid w:val="195F17CA"/>
    <w:rsid w:val="197B3EB5"/>
    <w:rsid w:val="19976414"/>
    <w:rsid w:val="19AA0461"/>
    <w:rsid w:val="19D20E68"/>
    <w:rsid w:val="19FB3354"/>
    <w:rsid w:val="1A284012"/>
    <w:rsid w:val="1A441E72"/>
    <w:rsid w:val="1A750A6F"/>
    <w:rsid w:val="1A9609E5"/>
    <w:rsid w:val="1AA72BF2"/>
    <w:rsid w:val="1AB71087"/>
    <w:rsid w:val="1AB772D9"/>
    <w:rsid w:val="1AC217DA"/>
    <w:rsid w:val="1ADD03C2"/>
    <w:rsid w:val="1AE23C2A"/>
    <w:rsid w:val="1AE6371B"/>
    <w:rsid w:val="1AE83608"/>
    <w:rsid w:val="1B101BFC"/>
    <w:rsid w:val="1B34092A"/>
    <w:rsid w:val="1B39686C"/>
    <w:rsid w:val="1B4B5C73"/>
    <w:rsid w:val="1B5C578B"/>
    <w:rsid w:val="1B8401D9"/>
    <w:rsid w:val="1B852F33"/>
    <w:rsid w:val="1B8C0175"/>
    <w:rsid w:val="1B920528"/>
    <w:rsid w:val="1BA3785E"/>
    <w:rsid w:val="1BE31D2D"/>
    <w:rsid w:val="1BE85270"/>
    <w:rsid w:val="1BF86013"/>
    <w:rsid w:val="1C2376BB"/>
    <w:rsid w:val="1C253B6F"/>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D0C7C22"/>
    <w:rsid w:val="1D2D5631"/>
    <w:rsid w:val="1D44297A"/>
    <w:rsid w:val="1D733EAC"/>
    <w:rsid w:val="1D761B9E"/>
    <w:rsid w:val="1DA376A1"/>
    <w:rsid w:val="1DA82F09"/>
    <w:rsid w:val="1DAD522A"/>
    <w:rsid w:val="1DAF24EA"/>
    <w:rsid w:val="1DDA6E3B"/>
    <w:rsid w:val="1DE11D1C"/>
    <w:rsid w:val="1DE5057D"/>
    <w:rsid w:val="1DE963F2"/>
    <w:rsid w:val="1E047C52"/>
    <w:rsid w:val="1E05035C"/>
    <w:rsid w:val="1E1467F1"/>
    <w:rsid w:val="1E214A6A"/>
    <w:rsid w:val="1E397B74"/>
    <w:rsid w:val="1E426EBA"/>
    <w:rsid w:val="1E5730FC"/>
    <w:rsid w:val="1EA01E32"/>
    <w:rsid w:val="1EA77665"/>
    <w:rsid w:val="1EAE454F"/>
    <w:rsid w:val="1ED32208"/>
    <w:rsid w:val="1EE703CB"/>
    <w:rsid w:val="1EE833D9"/>
    <w:rsid w:val="1EFB3209"/>
    <w:rsid w:val="1F250E09"/>
    <w:rsid w:val="1F4B7FF0"/>
    <w:rsid w:val="1F617832"/>
    <w:rsid w:val="1F742441"/>
    <w:rsid w:val="1F882FF2"/>
    <w:rsid w:val="1F90634B"/>
    <w:rsid w:val="1F9C6A7C"/>
    <w:rsid w:val="1FB20102"/>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14727"/>
    <w:rsid w:val="209B6D55"/>
    <w:rsid w:val="211C233A"/>
    <w:rsid w:val="2163586D"/>
    <w:rsid w:val="216B2BCB"/>
    <w:rsid w:val="21867A05"/>
    <w:rsid w:val="21A51484"/>
    <w:rsid w:val="21A97250"/>
    <w:rsid w:val="21BC3427"/>
    <w:rsid w:val="21D249F9"/>
    <w:rsid w:val="22482F0D"/>
    <w:rsid w:val="2265761B"/>
    <w:rsid w:val="226D64CF"/>
    <w:rsid w:val="22873A35"/>
    <w:rsid w:val="22A46395"/>
    <w:rsid w:val="22D62D35"/>
    <w:rsid w:val="22E9024C"/>
    <w:rsid w:val="23047A11"/>
    <w:rsid w:val="230D6ABB"/>
    <w:rsid w:val="231D38A1"/>
    <w:rsid w:val="23335FA6"/>
    <w:rsid w:val="233844FA"/>
    <w:rsid w:val="236553F8"/>
    <w:rsid w:val="236725CA"/>
    <w:rsid w:val="236E206F"/>
    <w:rsid w:val="237D6BE6"/>
    <w:rsid w:val="23965F23"/>
    <w:rsid w:val="23B7040A"/>
    <w:rsid w:val="23F32A04"/>
    <w:rsid w:val="240115C5"/>
    <w:rsid w:val="2409047A"/>
    <w:rsid w:val="242F6132"/>
    <w:rsid w:val="243674C1"/>
    <w:rsid w:val="244119C2"/>
    <w:rsid w:val="24704055"/>
    <w:rsid w:val="247B1377"/>
    <w:rsid w:val="24831FDA"/>
    <w:rsid w:val="249B7324"/>
    <w:rsid w:val="249E6E14"/>
    <w:rsid w:val="24F609FE"/>
    <w:rsid w:val="2500187D"/>
    <w:rsid w:val="252A2082"/>
    <w:rsid w:val="2558202E"/>
    <w:rsid w:val="255933D3"/>
    <w:rsid w:val="257F4890"/>
    <w:rsid w:val="25AE6362"/>
    <w:rsid w:val="25BF5294"/>
    <w:rsid w:val="25CB2A91"/>
    <w:rsid w:val="25E44CFA"/>
    <w:rsid w:val="260333D3"/>
    <w:rsid w:val="26173D8C"/>
    <w:rsid w:val="263E440B"/>
    <w:rsid w:val="26502390"/>
    <w:rsid w:val="265754CC"/>
    <w:rsid w:val="266412CF"/>
    <w:rsid w:val="26B6250E"/>
    <w:rsid w:val="26C3146B"/>
    <w:rsid w:val="26D46B1D"/>
    <w:rsid w:val="26DA3A5F"/>
    <w:rsid w:val="26DA5E4E"/>
    <w:rsid w:val="271A7E79"/>
    <w:rsid w:val="27384086"/>
    <w:rsid w:val="27716A62"/>
    <w:rsid w:val="277976C4"/>
    <w:rsid w:val="280276BA"/>
    <w:rsid w:val="281B28E6"/>
    <w:rsid w:val="287560BC"/>
    <w:rsid w:val="289D11E7"/>
    <w:rsid w:val="28B9246E"/>
    <w:rsid w:val="28E05C4D"/>
    <w:rsid w:val="29080D00"/>
    <w:rsid w:val="2912392D"/>
    <w:rsid w:val="291458F7"/>
    <w:rsid w:val="291A315C"/>
    <w:rsid w:val="292A336C"/>
    <w:rsid w:val="293164A9"/>
    <w:rsid w:val="29594DBB"/>
    <w:rsid w:val="298E7CBF"/>
    <w:rsid w:val="29946A38"/>
    <w:rsid w:val="29AD7216"/>
    <w:rsid w:val="29AE5D4B"/>
    <w:rsid w:val="29B665AC"/>
    <w:rsid w:val="29B73240"/>
    <w:rsid w:val="29C55F3E"/>
    <w:rsid w:val="29E67293"/>
    <w:rsid w:val="29EF52A8"/>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115316"/>
    <w:rsid w:val="2C2A71DF"/>
    <w:rsid w:val="2C35005E"/>
    <w:rsid w:val="2C387AF5"/>
    <w:rsid w:val="2C4D184B"/>
    <w:rsid w:val="2C714E0E"/>
    <w:rsid w:val="2C7D6FFF"/>
    <w:rsid w:val="2C956634"/>
    <w:rsid w:val="2CA945A8"/>
    <w:rsid w:val="2CAB2132"/>
    <w:rsid w:val="2CDE24A4"/>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92C6B"/>
    <w:rsid w:val="2DE7182C"/>
    <w:rsid w:val="2DFD2DFD"/>
    <w:rsid w:val="2E06258A"/>
    <w:rsid w:val="2E1732AD"/>
    <w:rsid w:val="2E2E2FB7"/>
    <w:rsid w:val="2E47051C"/>
    <w:rsid w:val="2E7B7E90"/>
    <w:rsid w:val="2E876B6B"/>
    <w:rsid w:val="2E881373"/>
    <w:rsid w:val="2EB5368F"/>
    <w:rsid w:val="2ED2428A"/>
    <w:rsid w:val="2ED26038"/>
    <w:rsid w:val="2ED81174"/>
    <w:rsid w:val="2EDA4EED"/>
    <w:rsid w:val="2EEA15D4"/>
    <w:rsid w:val="2F05640D"/>
    <w:rsid w:val="2F195A15"/>
    <w:rsid w:val="2F1F6DA3"/>
    <w:rsid w:val="2F2755E4"/>
    <w:rsid w:val="2F39620A"/>
    <w:rsid w:val="2F3F0ED9"/>
    <w:rsid w:val="2F5B1F86"/>
    <w:rsid w:val="2F827A5E"/>
    <w:rsid w:val="2F912594"/>
    <w:rsid w:val="2F9B4F5A"/>
    <w:rsid w:val="2FAF5BAA"/>
    <w:rsid w:val="2FAF6436"/>
    <w:rsid w:val="2FB120F1"/>
    <w:rsid w:val="2FB7522E"/>
    <w:rsid w:val="2FDE6C5E"/>
    <w:rsid w:val="2FE04785"/>
    <w:rsid w:val="3011493E"/>
    <w:rsid w:val="302C3AD1"/>
    <w:rsid w:val="304F147C"/>
    <w:rsid w:val="30722B71"/>
    <w:rsid w:val="30B874AF"/>
    <w:rsid w:val="30CE6A2C"/>
    <w:rsid w:val="30E12562"/>
    <w:rsid w:val="30E2500D"/>
    <w:rsid w:val="311A3CC6"/>
    <w:rsid w:val="313661D4"/>
    <w:rsid w:val="314D5E4A"/>
    <w:rsid w:val="314E47F2"/>
    <w:rsid w:val="315536FF"/>
    <w:rsid w:val="31572824"/>
    <w:rsid w:val="317C7BCE"/>
    <w:rsid w:val="31813D45"/>
    <w:rsid w:val="318C4BC4"/>
    <w:rsid w:val="319728AC"/>
    <w:rsid w:val="31DB5204"/>
    <w:rsid w:val="31F83949"/>
    <w:rsid w:val="31FE5396"/>
    <w:rsid w:val="32476D3D"/>
    <w:rsid w:val="32766BCA"/>
    <w:rsid w:val="328C626F"/>
    <w:rsid w:val="32917FB8"/>
    <w:rsid w:val="32B31CDC"/>
    <w:rsid w:val="32D210D5"/>
    <w:rsid w:val="32E3339A"/>
    <w:rsid w:val="33093FF2"/>
    <w:rsid w:val="33125B58"/>
    <w:rsid w:val="335A2AA0"/>
    <w:rsid w:val="337D18C1"/>
    <w:rsid w:val="339A6D9C"/>
    <w:rsid w:val="33AF4B9A"/>
    <w:rsid w:val="33B96FA5"/>
    <w:rsid w:val="33D46BA0"/>
    <w:rsid w:val="33F46A50"/>
    <w:rsid w:val="33F7209D"/>
    <w:rsid w:val="340A0022"/>
    <w:rsid w:val="340F06E9"/>
    <w:rsid w:val="342B1D46"/>
    <w:rsid w:val="343A139C"/>
    <w:rsid w:val="345031E8"/>
    <w:rsid w:val="345C3ED8"/>
    <w:rsid w:val="349072D0"/>
    <w:rsid w:val="34AA3252"/>
    <w:rsid w:val="34AF1EA4"/>
    <w:rsid w:val="34DA5C46"/>
    <w:rsid w:val="34E750E6"/>
    <w:rsid w:val="34EF5164"/>
    <w:rsid w:val="34F767F8"/>
    <w:rsid w:val="35690D78"/>
    <w:rsid w:val="357F5186"/>
    <w:rsid w:val="358838F4"/>
    <w:rsid w:val="3599754E"/>
    <w:rsid w:val="35BC534C"/>
    <w:rsid w:val="35DC59EE"/>
    <w:rsid w:val="35F5260C"/>
    <w:rsid w:val="3628478F"/>
    <w:rsid w:val="363F1655"/>
    <w:rsid w:val="364041CF"/>
    <w:rsid w:val="36445382"/>
    <w:rsid w:val="36624145"/>
    <w:rsid w:val="366A124C"/>
    <w:rsid w:val="36855F59"/>
    <w:rsid w:val="36910587"/>
    <w:rsid w:val="369D13B4"/>
    <w:rsid w:val="36AD49D7"/>
    <w:rsid w:val="36C46BAE"/>
    <w:rsid w:val="36EA0EFF"/>
    <w:rsid w:val="36EF52AD"/>
    <w:rsid w:val="371A20CB"/>
    <w:rsid w:val="372F7F47"/>
    <w:rsid w:val="37623CD1"/>
    <w:rsid w:val="37677539"/>
    <w:rsid w:val="377834F5"/>
    <w:rsid w:val="379A346B"/>
    <w:rsid w:val="379B15D5"/>
    <w:rsid w:val="37B3277F"/>
    <w:rsid w:val="37B55A0C"/>
    <w:rsid w:val="37CD4314"/>
    <w:rsid w:val="37CE542D"/>
    <w:rsid w:val="37D95311"/>
    <w:rsid w:val="37E13657"/>
    <w:rsid w:val="3809330B"/>
    <w:rsid w:val="3811655F"/>
    <w:rsid w:val="384004B6"/>
    <w:rsid w:val="384A0145"/>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EA6FE8"/>
    <w:rsid w:val="3A046550"/>
    <w:rsid w:val="3A0D261A"/>
    <w:rsid w:val="3A1104FD"/>
    <w:rsid w:val="3A1F310B"/>
    <w:rsid w:val="3A26548A"/>
    <w:rsid w:val="3A3E6C77"/>
    <w:rsid w:val="3A437DEA"/>
    <w:rsid w:val="3A4D6EBA"/>
    <w:rsid w:val="3A5E6007"/>
    <w:rsid w:val="3A6443DE"/>
    <w:rsid w:val="3A6A181A"/>
    <w:rsid w:val="3A871D46"/>
    <w:rsid w:val="3ABE1B66"/>
    <w:rsid w:val="3ACA050B"/>
    <w:rsid w:val="3AD66EB0"/>
    <w:rsid w:val="3B190B4B"/>
    <w:rsid w:val="3B302256"/>
    <w:rsid w:val="3B392C42"/>
    <w:rsid w:val="3B400992"/>
    <w:rsid w:val="3B4402BD"/>
    <w:rsid w:val="3B4958D4"/>
    <w:rsid w:val="3B555D11"/>
    <w:rsid w:val="3B6B584A"/>
    <w:rsid w:val="3B8E3B9E"/>
    <w:rsid w:val="3BB645EB"/>
    <w:rsid w:val="3BC6175E"/>
    <w:rsid w:val="3BD11425"/>
    <w:rsid w:val="3BDC04F6"/>
    <w:rsid w:val="3BE21884"/>
    <w:rsid w:val="3C066714"/>
    <w:rsid w:val="3C2123AD"/>
    <w:rsid w:val="3C4B6B57"/>
    <w:rsid w:val="3C85293C"/>
    <w:rsid w:val="3C8A1D00"/>
    <w:rsid w:val="3CAD3C40"/>
    <w:rsid w:val="3CBE5E4E"/>
    <w:rsid w:val="3CC82828"/>
    <w:rsid w:val="3CCC15BB"/>
    <w:rsid w:val="3D1C4922"/>
    <w:rsid w:val="3D614EFB"/>
    <w:rsid w:val="3D695EAF"/>
    <w:rsid w:val="3D8C4327"/>
    <w:rsid w:val="3D960B78"/>
    <w:rsid w:val="3DA07301"/>
    <w:rsid w:val="3DB1150E"/>
    <w:rsid w:val="3E4203B8"/>
    <w:rsid w:val="3E71234B"/>
    <w:rsid w:val="3E720C9E"/>
    <w:rsid w:val="3E8F505B"/>
    <w:rsid w:val="3E95498C"/>
    <w:rsid w:val="3EA11583"/>
    <w:rsid w:val="3EB32D81"/>
    <w:rsid w:val="3EBA4F1D"/>
    <w:rsid w:val="3ED0092C"/>
    <w:rsid w:val="3ED43706"/>
    <w:rsid w:val="3EE33949"/>
    <w:rsid w:val="3EED2ADA"/>
    <w:rsid w:val="3EFE69D5"/>
    <w:rsid w:val="3F23468E"/>
    <w:rsid w:val="3F3917BB"/>
    <w:rsid w:val="3F626F64"/>
    <w:rsid w:val="3F656A54"/>
    <w:rsid w:val="3F79434E"/>
    <w:rsid w:val="3F8773B7"/>
    <w:rsid w:val="3FA62662"/>
    <w:rsid w:val="3FC04016"/>
    <w:rsid w:val="3FE441B3"/>
    <w:rsid w:val="400022D9"/>
    <w:rsid w:val="401B7113"/>
    <w:rsid w:val="403A4AB5"/>
    <w:rsid w:val="403C64BB"/>
    <w:rsid w:val="403F2E01"/>
    <w:rsid w:val="404448BC"/>
    <w:rsid w:val="404C551E"/>
    <w:rsid w:val="40905D53"/>
    <w:rsid w:val="40B652F0"/>
    <w:rsid w:val="40DC2D46"/>
    <w:rsid w:val="40E1210B"/>
    <w:rsid w:val="410758DC"/>
    <w:rsid w:val="411E335F"/>
    <w:rsid w:val="412907A1"/>
    <w:rsid w:val="414D154E"/>
    <w:rsid w:val="41517290"/>
    <w:rsid w:val="415723CD"/>
    <w:rsid w:val="417148FA"/>
    <w:rsid w:val="41BB48E2"/>
    <w:rsid w:val="41D61543"/>
    <w:rsid w:val="41D8350E"/>
    <w:rsid w:val="41E023C2"/>
    <w:rsid w:val="42213106"/>
    <w:rsid w:val="424D048E"/>
    <w:rsid w:val="426923B8"/>
    <w:rsid w:val="42895E35"/>
    <w:rsid w:val="428B0580"/>
    <w:rsid w:val="42A11B51"/>
    <w:rsid w:val="42AB6E74"/>
    <w:rsid w:val="42CA554C"/>
    <w:rsid w:val="42DF0DC2"/>
    <w:rsid w:val="42E126F9"/>
    <w:rsid w:val="42E3660E"/>
    <w:rsid w:val="42FC322C"/>
    <w:rsid w:val="430D368B"/>
    <w:rsid w:val="43222DDF"/>
    <w:rsid w:val="433E78CA"/>
    <w:rsid w:val="43490A08"/>
    <w:rsid w:val="434F77FF"/>
    <w:rsid w:val="43A23DD3"/>
    <w:rsid w:val="43B71550"/>
    <w:rsid w:val="43CA332A"/>
    <w:rsid w:val="43CF0940"/>
    <w:rsid w:val="43D83C99"/>
    <w:rsid w:val="43E837B0"/>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D67D64"/>
    <w:rsid w:val="462E7BA0"/>
    <w:rsid w:val="467632F5"/>
    <w:rsid w:val="46A41C10"/>
    <w:rsid w:val="46C54618"/>
    <w:rsid w:val="46E56E89"/>
    <w:rsid w:val="46FF778E"/>
    <w:rsid w:val="472745EF"/>
    <w:rsid w:val="473C62ED"/>
    <w:rsid w:val="47554B02"/>
    <w:rsid w:val="47555600"/>
    <w:rsid w:val="477E22F4"/>
    <w:rsid w:val="47B2035D"/>
    <w:rsid w:val="47B57E4D"/>
    <w:rsid w:val="47DE467A"/>
    <w:rsid w:val="47DE7B5D"/>
    <w:rsid w:val="48124F71"/>
    <w:rsid w:val="48345216"/>
    <w:rsid w:val="483B438C"/>
    <w:rsid w:val="483C0579"/>
    <w:rsid w:val="484511D1"/>
    <w:rsid w:val="487072EF"/>
    <w:rsid w:val="48855A71"/>
    <w:rsid w:val="48895562"/>
    <w:rsid w:val="4893018E"/>
    <w:rsid w:val="48E94252"/>
    <w:rsid w:val="48F45D6D"/>
    <w:rsid w:val="49042C8A"/>
    <w:rsid w:val="49044BE8"/>
    <w:rsid w:val="492F652F"/>
    <w:rsid w:val="493C0826"/>
    <w:rsid w:val="49415E3C"/>
    <w:rsid w:val="496C5C52"/>
    <w:rsid w:val="496F29A9"/>
    <w:rsid w:val="497A134E"/>
    <w:rsid w:val="498270B3"/>
    <w:rsid w:val="49E406A1"/>
    <w:rsid w:val="49E87801"/>
    <w:rsid w:val="4A1264D9"/>
    <w:rsid w:val="4A275658"/>
    <w:rsid w:val="4A767D68"/>
    <w:rsid w:val="4AB908E2"/>
    <w:rsid w:val="4AD92D96"/>
    <w:rsid w:val="4AEE5B50"/>
    <w:rsid w:val="4B0D06CC"/>
    <w:rsid w:val="4B0E5EB1"/>
    <w:rsid w:val="4B0F4B96"/>
    <w:rsid w:val="4B5A1437"/>
    <w:rsid w:val="4B6865FA"/>
    <w:rsid w:val="4B751DCD"/>
    <w:rsid w:val="4BBB7051"/>
    <w:rsid w:val="4BE13907"/>
    <w:rsid w:val="4BFC429C"/>
    <w:rsid w:val="4C20442F"/>
    <w:rsid w:val="4C2C4B82"/>
    <w:rsid w:val="4C343BAC"/>
    <w:rsid w:val="4C3549DA"/>
    <w:rsid w:val="4C3B4DC5"/>
    <w:rsid w:val="4C416153"/>
    <w:rsid w:val="4C5B1360"/>
    <w:rsid w:val="4C6E069B"/>
    <w:rsid w:val="4C7E1B2B"/>
    <w:rsid w:val="4CAE1A3B"/>
    <w:rsid w:val="4CBC3CCA"/>
    <w:rsid w:val="4CBF7AF9"/>
    <w:rsid w:val="4CD34FFD"/>
    <w:rsid w:val="4CE03BBE"/>
    <w:rsid w:val="4CEC7C35"/>
    <w:rsid w:val="4D0C6761"/>
    <w:rsid w:val="4D1879C1"/>
    <w:rsid w:val="4D1D271C"/>
    <w:rsid w:val="4D573E80"/>
    <w:rsid w:val="4D673998"/>
    <w:rsid w:val="4D875DE8"/>
    <w:rsid w:val="4D9C5D37"/>
    <w:rsid w:val="4DBF3025"/>
    <w:rsid w:val="4DE27BDE"/>
    <w:rsid w:val="4DF94646"/>
    <w:rsid w:val="4E08517B"/>
    <w:rsid w:val="4E231FB4"/>
    <w:rsid w:val="4E600000"/>
    <w:rsid w:val="4E6323B1"/>
    <w:rsid w:val="4E6B6EA1"/>
    <w:rsid w:val="4E870795"/>
    <w:rsid w:val="4E8F158A"/>
    <w:rsid w:val="4EC94844"/>
    <w:rsid w:val="4ED71DB4"/>
    <w:rsid w:val="4ED9062F"/>
    <w:rsid w:val="4EDE412D"/>
    <w:rsid w:val="4EF87BDB"/>
    <w:rsid w:val="4EF93FB4"/>
    <w:rsid w:val="4F0040A4"/>
    <w:rsid w:val="4F02066C"/>
    <w:rsid w:val="4F28465E"/>
    <w:rsid w:val="4F284B65"/>
    <w:rsid w:val="4F695861"/>
    <w:rsid w:val="4F766114"/>
    <w:rsid w:val="4F844CD5"/>
    <w:rsid w:val="4FBC446F"/>
    <w:rsid w:val="4FC61429"/>
    <w:rsid w:val="4FEC63D6"/>
    <w:rsid w:val="4FF64A5D"/>
    <w:rsid w:val="50033E4B"/>
    <w:rsid w:val="500A342C"/>
    <w:rsid w:val="500B0F52"/>
    <w:rsid w:val="50117643"/>
    <w:rsid w:val="501871CB"/>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D3373F"/>
    <w:rsid w:val="51E7154B"/>
    <w:rsid w:val="51E97071"/>
    <w:rsid w:val="521A36CE"/>
    <w:rsid w:val="521D51BC"/>
    <w:rsid w:val="521F3064"/>
    <w:rsid w:val="525210BA"/>
    <w:rsid w:val="52B07B8F"/>
    <w:rsid w:val="52D65847"/>
    <w:rsid w:val="5334495E"/>
    <w:rsid w:val="534704F3"/>
    <w:rsid w:val="53C61CCF"/>
    <w:rsid w:val="53DA4EC3"/>
    <w:rsid w:val="53E144A4"/>
    <w:rsid w:val="53E83463"/>
    <w:rsid w:val="54106B37"/>
    <w:rsid w:val="54322F51"/>
    <w:rsid w:val="545B6043"/>
    <w:rsid w:val="54BA5EB5"/>
    <w:rsid w:val="54DA4AA4"/>
    <w:rsid w:val="54ED0C26"/>
    <w:rsid w:val="54FA45B8"/>
    <w:rsid w:val="55012924"/>
    <w:rsid w:val="553B4087"/>
    <w:rsid w:val="55754165"/>
    <w:rsid w:val="55A734CB"/>
    <w:rsid w:val="55AC0E8C"/>
    <w:rsid w:val="55C71477"/>
    <w:rsid w:val="55CE071D"/>
    <w:rsid w:val="55D00130"/>
    <w:rsid w:val="55D342C0"/>
    <w:rsid w:val="55DA73FC"/>
    <w:rsid w:val="55F3226C"/>
    <w:rsid w:val="560774C0"/>
    <w:rsid w:val="56133180"/>
    <w:rsid w:val="56226FF5"/>
    <w:rsid w:val="56665134"/>
    <w:rsid w:val="56690780"/>
    <w:rsid w:val="56777341"/>
    <w:rsid w:val="568F6618"/>
    <w:rsid w:val="56913258"/>
    <w:rsid w:val="56955A19"/>
    <w:rsid w:val="56AE4E93"/>
    <w:rsid w:val="56CA7B0E"/>
    <w:rsid w:val="56F24C1A"/>
    <w:rsid w:val="573B0F53"/>
    <w:rsid w:val="577218B7"/>
    <w:rsid w:val="57877110"/>
    <w:rsid w:val="57923845"/>
    <w:rsid w:val="57C33BB8"/>
    <w:rsid w:val="57C71C02"/>
    <w:rsid w:val="57D13A15"/>
    <w:rsid w:val="57EF4CB5"/>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FB7F43"/>
    <w:rsid w:val="595924F8"/>
    <w:rsid w:val="59BA391C"/>
    <w:rsid w:val="59C72FE9"/>
    <w:rsid w:val="59C75EEA"/>
    <w:rsid w:val="59CF2FF0"/>
    <w:rsid w:val="59D61BA3"/>
    <w:rsid w:val="59F3663D"/>
    <w:rsid w:val="5A0507C0"/>
    <w:rsid w:val="5A41353C"/>
    <w:rsid w:val="5A4A08C9"/>
    <w:rsid w:val="5A555BBE"/>
    <w:rsid w:val="5A5955ED"/>
    <w:rsid w:val="5A6172E4"/>
    <w:rsid w:val="5A6951F3"/>
    <w:rsid w:val="5ABC682F"/>
    <w:rsid w:val="5AC57E95"/>
    <w:rsid w:val="5AE9037D"/>
    <w:rsid w:val="5AF35F89"/>
    <w:rsid w:val="5AFB7B6B"/>
    <w:rsid w:val="5B2555BE"/>
    <w:rsid w:val="5B801B6E"/>
    <w:rsid w:val="5BAB4156"/>
    <w:rsid w:val="5BE72873"/>
    <w:rsid w:val="5BEA75BF"/>
    <w:rsid w:val="5C17056B"/>
    <w:rsid w:val="5C210521"/>
    <w:rsid w:val="5C253C16"/>
    <w:rsid w:val="5C270EC2"/>
    <w:rsid w:val="5C6300BB"/>
    <w:rsid w:val="5C6F4617"/>
    <w:rsid w:val="5C9522CF"/>
    <w:rsid w:val="5C967DF5"/>
    <w:rsid w:val="5CBC1B3E"/>
    <w:rsid w:val="5CCC1072"/>
    <w:rsid w:val="5CD94447"/>
    <w:rsid w:val="5CD94967"/>
    <w:rsid w:val="5CE84AF5"/>
    <w:rsid w:val="5D127168"/>
    <w:rsid w:val="5D506AC9"/>
    <w:rsid w:val="5D5A4ACB"/>
    <w:rsid w:val="5D647EF4"/>
    <w:rsid w:val="5D740137"/>
    <w:rsid w:val="5DB1138B"/>
    <w:rsid w:val="5DB81DEE"/>
    <w:rsid w:val="5E102EB2"/>
    <w:rsid w:val="5E251431"/>
    <w:rsid w:val="5E2558D5"/>
    <w:rsid w:val="5E375EEE"/>
    <w:rsid w:val="5E4778D9"/>
    <w:rsid w:val="5E59557E"/>
    <w:rsid w:val="5E895323"/>
    <w:rsid w:val="5ED01F0B"/>
    <w:rsid w:val="5F0E3129"/>
    <w:rsid w:val="5F1576F7"/>
    <w:rsid w:val="5F4916B0"/>
    <w:rsid w:val="5F5875E4"/>
    <w:rsid w:val="5F593296"/>
    <w:rsid w:val="5F5A217E"/>
    <w:rsid w:val="5F5C70D4"/>
    <w:rsid w:val="5F7A1C50"/>
    <w:rsid w:val="5F8927B9"/>
    <w:rsid w:val="5F8B5C0B"/>
    <w:rsid w:val="5FCC6C5E"/>
    <w:rsid w:val="5FDF0776"/>
    <w:rsid w:val="5FE62E42"/>
    <w:rsid w:val="600B4656"/>
    <w:rsid w:val="60397415"/>
    <w:rsid w:val="603B4F3C"/>
    <w:rsid w:val="60536729"/>
    <w:rsid w:val="60AA20C1"/>
    <w:rsid w:val="60B3541A"/>
    <w:rsid w:val="60CE7B5E"/>
    <w:rsid w:val="611415FC"/>
    <w:rsid w:val="61243C22"/>
    <w:rsid w:val="614E6EF1"/>
    <w:rsid w:val="615C160D"/>
    <w:rsid w:val="61A30FEA"/>
    <w:rsid w:val="61B52BB6"/>
    <w:rsid w:val="61BF394A"/>
    <w:rsid w:val="61C243C9"/>
    <w:rsid w:val="61D07906"/>
    <w:rsid w:val="61DC62AA"/>
    <w:rsid w:val="61EE2A3A"/>
    <w:rsid w:val="61F94CAB"/>
    <w:rsid w:val="620B4DE2"/>
    <w:rsid w:val="62175534"/>
    <w:rsid w:val="62375BD7"/>
    <w:rsid w:val="62742987"/>
    <w:rsid w:val="6285516C"/>
    <w:rsid w:val="62AE40EB"/>
    <w:rsid w:val="62B808FB"/>
    <w:rsid w:val="62BF638B"/>
    <w:rsid w:val="62CA25A7"/>
    <w:rsid w:val="62CD0900"/>
    <w:rsid w:val="62FB09B2"/>
    <w:rsid w:val="630755A9"/>
    <w:rsid w:val="63100901"/>
    <w:rsid w:val="63236614"/>
    <w:rsid w:val="632919C3"/>
    <w:rsid w:val="6331293E"/>
    <w:rsid w:val="63333EB7"/>
    <w:rsid w:val="63365E8E"/>
    <w:rsid w:val="63414F5F"/>
    <w:rsid w:val="63436839"/>
    <w:rsid w:val="63506F50"/>
    <w:rsid w:val="6356208C"/>
    <w:rsid w:val="63691DC0"/>
    <w:rsid w:val="638906B4"/>
    <w:rsid w:val="638E5CCA"/>
    <w:rsid w:val="63A92B04"/>
    <w:rsid w:val="63AE3C76"/>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47189D"/>
    <w:rsid w:val="65624D19"/>
    <w:rsid w:val="656D3C82"/>
    <w:rsid w:val="657442F1"/>
    <w:rsid w:val="65E25469"/>
    <w:rsid w:val="65ED4F2A"/>
    <w:rsid w:val="662B7800"/>
    <w:rsid w:val="663452B0"/>
    <w:rsid w:val="664675B7"/>
    <w:rsid w:val="664803B2"/>
    <w:rsid w:val="664F5A97"/>
    <w:rsid w:val="666304CC"/>
    <w:rsid w:val="66754F1F"/>
    <w:rsid w:val="6698278F"/>
    <w:rsid w:val="669B23CD"/>
    <w:rsid w:val="66A7157D"/>
    <w:rsid w:val="66B15F58"/>
    <w:rsid w:val="66BC48FC"/>
    <w:rsid w:val="66C9536E"/>
    <w:rsid w:val="66F45E44"/>
    <w:rsid w:val="670A5668"/>
    <w:rsid w:val="67110DC2"/>
    <w:rsid w:val="671E1113"/>
    <w:rsid w:val="6740552D"/>
    <w:rsid w:val="675C250A"/>
    <w:rsid w:val="67A37521"/>
    <w:rsid w:val="67B6134C"/>
    <w:rsid w:val="67BC2E06"/>
    <w:rsid w:val="67BF615D"/>
    <w:rsid w:val="67D27562"/>
    <w:rsid w:val="68022682"/>
    <w:rsid w:val="68152516"/>
    <w:rsid w:val="68246ED4"/>
    <w:rsid w:val="683647B6"/>
    <w:rsid w:val="68752FB5"/>
    <w:rsid w:val="69020CEC"/>
    <w:rsid w:val="691C6622"/>
    <w:rsid w:val="69256789"/>
    <w:rsid w:val="692F7608"/>
    <w:rsid w:val="694C5701"/>
    <w:rsid w:val="69594684"/>
    <w:rsid w:val="696B145D"/>
    <w:rsid w:val="697459BD"/>
    <w:rsid w:val="69A26638"/>
    <w:rsid w:val="69B0699A"/>
    <w:rsid w:val="69B30239"/>
    <w:rsid w:val="69B67D29"/>
    <w:rsid w:val="69BD63FA"/>
    <w:rsid w:val="69CA7330"/>
    <w:rsid w:val="69EE49D2"/>
    <w:rsid w:val="6A2E78BF"/>
    <w:rsid w:val="6A3D3FA6"/>
    <w:rsid w:val="6A477FAE"/>
    <w:rsid w:val="6A5A7B71"/>
    <w:rsid w:val="6A7A2B04"/>
    <w:rsid w:val="6A9525EC"/>
    <w:rsid w:val="6A977FEF"/>
    <w:rsid w:val="6AE3108D"/>
    <w:rsid w:val="6B1E7934"/>
    <w:rsid w:val="6B6615D1"/>
    <w:rsid w:val="6B6A054F"/>
    <w:rsid w:val="6B882FFF"/>
    <w:rsid w:val="6B9F7B6E"/>
    <w:rsid w:val="6BCB7ABB"/>
    <w:rsid w:val="6C0515A8"/>
    <w:rsid w:val="6C152AE5"/>
    <w:rsid w:val="6C1F1BB5"/>
    <w:rsid w:val="6C30660C"/>
    <w:rsid w:val="6C510171"/>
    <w:rsid w:val="6C5555D7"/>
    <w:rsid w:val="6C5E5AB6"/>
    <w:rsid w:val="6C627CF4"/>
    <w:rsid w:val="6C9B1499"/>
    <w:rsid w:val="6CBE13CE"/>
    <w:rsid w:val="6CC46057"/>
    <w:rsid w:val="6CCC1A08"/>
    <w:rsid w:val="6CD00B93"/>
    <w:rsid w:val="6D0B5229"/>
    <w:rsid w:val="6D0E4172"/>
    <w:rsid w:val="6D2356D5"/>
    <w:rsid w:val="6D294988"/>
    <w:rsid w:val="6D321474"/>
    <w:rsid w:val="6D3B4F62"/>
    <w:rsid w:val="6D546402"/>
    <w:rsid w:val="6D605FE2"/>
    <w:rsid w:val="6D716441"/>
    <w:rsid w:val="6D77157D"/>
    <w:rsid w:val="6D944019"/>
    <w:rsid w:val="6DDE4FBC"/>
    <w:rsid w:val="6DE2733E"/>
    <w:rsid w:val="6E0F17B6"/>
    <w:rsid w:val="6E491A2F"/>
    <w:rsid w:val="6E8F0134"/>
    <w:rsid w:val="6EC033A1"/>
    <w:rsid w:val="6ED742C8"/>
    <w:rsid w:val="6F0626E6"/>
    <w:rsid w:val="6F165D50"/>
    <w:rsid w:val="6F1A6664"/>
    <w:rsid w:val="6F29122F"/>
    <w:rsid w:val="6F5222A2"/>
    <w:rsid w:val="6F59718C"/>
    <w:rsid w:val="6F857F81"/>
    <w:rsid w:val="6F9219A4"/>
    <w:rsid w:val="6FA32AFD"/>
    <w:rsid w:val="6FD131C7"/>
    <w:rsid w:val="6FE4258E"/>
    <w:rsid w:val="6FF46EB5"/>
    <w:rsid w:val="7016394C"/>
    <w:rsid w:val="701B0AEA"/>
    <w:rsid w:val="70311EB7"/>
    <w:rsid w:val="70862203"/>
    <w:rsid w:val="708A15C7"/>
    <w:rsid w:val="709D12FB"/>
    <w:rsid w:val="70CE7706"/>
    <w:rsid w:val="70E76A1A"/>
    <w:rsid w:val="70EC5DDE"/>
    <w:rsid w:val="7104137A"/>
    <w:rsid w:val="7104661F"/>
    <w:rsid w:val="71094BE2"/>
    <w:rsid w:val="7110687D"/>
    <w:rsid w:val="711F7F62"/>
    <w:rsid w:val="712F289B"/>
    <w:rsid w:val="71510787"/>
    <w:rsid w:val="7151758B"/>
    <w:rsid w:val="71576171"/>
    <w:rsid w:val="716F0EE9"/>
    <w:rsid w:val="717715C3"/>
    <w:rsid w:val="717B5AE0"/>
    <w:rsid w:val="717E737E"/>
    <w:rsid w:val="719552FF"/>
    <w:rsid w:val="71A1306D"/>
    <w:rsid w:val="71CF6311"/>
    <w:rsid w:val="71E116BB"/>
    <w:rsid w:val="71E35433"/>
    <w:rsid w:val="7206756D"/>
    <w:rsid w:val="726522EC"/>
    <w:rsid w:val="72734A0C"/>
    <w:rsid w:val="72914E8F"/>
    <w:rsid w:val="72A9136A"/>
    <w:rsid w:val="72B9329B"/>
    <w:rsid w:val="72D1172F"/>
    <w:rsid w:val="72D74FAB"/>
    <w:rsid w:val="72D76045"/>
    <w:rsid w:val="72E65772"/>
    <w:rsid w:val="72F928D5"/>
    <w:rsid w:val="72FD2525"/>
    <w:rsid w:val="73295CE5"/>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C26E48"/>
    <w:rsid w:val="750477ED"/>
    <w:rsid w:val="752A613E"/>
    <w:rsid w:val="75330480"/>
    <w:rsid w:val="754E350B"/>
    <w:rsid w:val="755747C3"/>
    <w:rsid w:val="75671ED7"/>
    <w:rsid w:val="757840E4"/>
    <w:rsid w:val="75BA690B"/>
    <w:rsid w:val="75F1528A"/>
    <w:rsid w:val="7621652A"/>
    <w:rsid w:val="76320737"/>
    <w:rsid w:val="764346F2"/>
    <w:rsid w:val="76571277"/>
    <w:rsid w:val="766B0EFF"/>
    <w:rsid w:val="766D5162"/>
    <w:rsid w:val="76A2761C"/>
    <w:rsid w:val="76A54F94"/>
    <w:rsid w:val="76C63CAF"/>
    <w:rsid w:val="76DE441B"/>
    <w:rsid w:val="76FE0619"/>
    <w:rsid w:val="770C6B46"/>
    <w:rsid w:val="772462D2"/>
    <w:rsid w:val="77514BED"/>
    <w:rsid w:val="77B5517C"/>
    <w:rsid w:val="77B87AD6"/>
    <w:rsid w:val="77D73344"/>
    <w:rsid w:val="77EB6DF0"/>
    <w:rsid w:val="77F3025C"/>
    <w:rsid w:val="77FF07FF"/>
    <w:rsid w:val="78144598"/>
    <w:rsid w:val="78205781"/>
    <w:rsid w:val="782303E7"/>
    <w:rsid w:val="786B1CDE"/>
    <w:rsid w:val="78745037"/>
    <w:rsid w:val="787E3EB5"/>
    <w:rsid w:val="789F0C53"/>
    <w:rsid w:val="78A70F68"/>
    <w:rsid w:val="78BE1519"/>
    <w:rsid w:val="78D06B47"/>
    <w:rsid w:val="78DB5DFD"/>
    <w:rsid w:val="78E41F7C"/>
    <w:rsid w:val="78F817C4"/>
    <w:rsid w:val="790C34C1"/>
    <w:rsid w:val="793B7903"/>
    <w:rsid w:val="7950097F"/>
    <w:rsid w:val="799A775C"/>
    <w:rsid w:val="79B646C7"/>
    <w:rsid w:val="79C107B1"/>
    <w:rsid w:val="79C618C2"/>
    <w:rsid w:val="79DF4732"/>
    <w:rsid w:val="7A1F1F5A"/>
    <w:rsid w:val="7A3A0597"/>
    <w:rsid w:val="7A5E5F9F"/>
    <w:rsid w:val="7A927198"/>
    <w:rsid w:val="7AC7547F"/>
    <w:rsid w:val="7AF83CFD"/>
    <w:rsid w:val="7B114DBF"/>
    <w:rsid w:val="7B31720F"/>
    <w:rsid w:val="7B4927AB"/>
    <w:rsid w:val="7B657452"/>
    <w:rsid w:val="7B66335D"/>
    <w:rsid w:val="7B684125"/>
    <w:rsid w:val="7B70785B"/>
    <w:rsid w:val="7B75534E"/>
    <w:rsid w:val="7B910F06"/>
    <w:rsid w:val="7BC42654"/>
    <w:rsid w:val="7BCB7664"/>
    <w:rsid w:val="7BD323FA"/>
    <w:rsid w:val="7BF5023D"/>
    <w:rsid w:val="7C1D7794"/>
    <w:rsid w:val="7C330D65"/>
    <w:rsid w:val="7C506DEC"/>
    <w:rsid w:val="7C52743D"/>
    <w:rsid w:val="7C5644E1"/>
    <w:rsid w:val="7C734B01"/>
    <w:rsid w:val="7C864969"/>
    <w:rsid w:val="7C9673F2"/>
    <w:rsid w:val="7CA43D7A"/>
    <w:rsid w:val="7CAD4FBB"/>
    <w:rsid w:val="7CDE5175"/>
    <w:rsid w:val="7CF8248D"/>
    <w:rsid w:val="7D04348A"/>
    <w:rsid w:val="7D0A5F6A"/>
    <w:rsid w:val="7D67262D"/>
    <w:rsid w:val="7D697134"/>
    <w:rsid w:val="7DAE7CF4"/>
    <w:rsid w:val="7DB72C94"/>
    <w:rsid w:val="7DC205F3"/>
    <w:rsid w:val="7DCE69B8"/>
    <w:rsid w:val="7E235E07"/>
    <w:rsid w:val="7E2369FE"/>
    <w:rsid w:val="7E562FB6"/>
    <w:rsid w:val="7E56399B"/>
    <w:rsid w:val="7E63609E"/>
    <w:rsid w:val="7E6F077A"/>
    <w:rsid w:val="7E7A5206"/>
    <w:rsid w:val="7E970D8E"/>
    <w:rsid w:val="7EAD3628"/>
    <w:rsid w:val="7EAD4E8C"/>
    <w:rsid w:val="7EC3036F"/>
    <w:rsid w:val="7EC34622"/>
    <w:rsid w:val="7ECF3E33"/>
    <w:rsid w:val="7ED14F91"/>
    <w:rsid w:val="7EFB3DBC"/>
    <w:rsid w:val="7F0945F7"/>
    <w:rsid w:val="7F221A33"/>
    <w:rsid w:val="7F2C21C3"/>
    <w:rsid w:val="7F405C73"/>
    <w:rsid w:val="7F7D2A23"/>
    <w:rsid w:val="7F7D4E4C"/>
    <w:rsid w:val="7F820039"/>
    <w:rsid w:val="7F9B692B"/>
    <w:rsid w:val="7FA97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rPr>
  </w:style>
  <w:style w:type="paragraph" w:styleId="5">
    <w:name w:val="annotation text"/>
    <w:basedOn w:val="1"/>
    <w:link w:val="44"/>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28"/>
      <w:szCs w:val="2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cs="宋体"/>
      <w:sz w:val="24"/>
    </w:rPr>
  </w:style>
  <w:style w:type="paragraph" w:styleId="14">
    <w:name w:val="annotation subject"/>
    <w:basedOn w:val="5"/>
    <w:next w:val="5"/>
    <w:link w:val="45"/>
    <w:autoRedefine/>
    <w:qFormat/>
    <w:uiPriority w:val="0"/>
    <w:rPr>
      <w:b/>
      <w:bCs/>
    </w:rPr>
  </w:style>
  <w:style w:type="table" w:styleId="16">
    <w:name w:val="Table Grid"/>
    <w:basedOn w:val="1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annotation reference"/>
    <w:basedOn w:val="17"/>
    <w:autoRedefine/>
    <w:qFormat/>
    <w:uiPriority w:val="0"/>
    <w:rPr>
      <w:sz w:val="21"/>
      <w:szCs w:val="21"/>
    </w:rPr>
  </w:style>
  <w:style w:type="paragraph" w:customStyle="1" w:styleId="20">
    <w:name w:val="Char Char1 Char Char1 Char Char Char Char Char Char"/>
    <w:basedOn w:val="1"/>
    <w:autoRedefine/>
    <w:qFormat/>
    <w:uiPriority w:val="0"/>
    <w:pPr>
      <w:widowControl/>
      <w:spacing w:after="160" w:line="240" w:lineRule="exact"/>
      <w:jc w:val="left"/>
    </w:pPr>
    <w:rPr>
      <w:szCs w:val="20"/>
    </w:rPr>
  </w:style>
  <w:style w:type="paragraph" w:customStyle="1" w:styleId="21">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Table Text"/>
    <w:basedOn w:val="1"/>
    <w:autoRedefine/>
    <w:semiHidden/>
    <w:qFormat/>
    <w:uiPriority w:val="0"/>
    <w:rPr>
      <w:rFonts w:ascii="Arial" w:hAnsi="Arial" w:eastAsia="Arial" w:cs="Arial"/>
      <w:szCs w:val="21"/>
      <w:lang w:eastAsia="en-US"/>
    </w:rPr>
  </w:style>
  <w:style w:type="paragraph" w:customStyle="1" w:styleId="24">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5">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6">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7">
    <w:name w:val="WPSOffice手动目录 3"/>
    <w:autoRedefine/>
    <w:qFormat/>
    <w:uiPriority w:val="0"/>
    <w:pPr>
      <w:ind w:left="400" w:leftChars="400"/>
    </w:pPr>
    <w:rPr>
      <w:rFonts w:ascii="Arial" w:hAnsi="Arial" w:eastAsia="Arial" w:cs="Arial"/>
      <w:lang w:val="en-US" w:eastAsia="zh-CN" w:bidi="ar-SA"/>
    </w:rPr>
  </w:style>
  <w:style w:type="paragraph" w:customStyle="1" w:styleId="28">
    <w:name w:val="样式 小四 行距: 1.5 倍行距"/>
    <w:basedOn w:val="1"/>
    <w:autoRedefine/>
    <w:qFormat/>
    <w:uiPriority w:val="0"/>
    <w:pPr>
      <w:spacing w:line="360" w:lineRule="auto"/>
    </w:pPr>
    <w:rPr>
      <w:sz w:val="24"/>
    </w:rPr>
  </w:style>
  <w:style w:type="table" w:customStyle="1" w:styleId="29">
    <w:name w:val="网格型1"/>
    <w:basedOn w:val="15"/>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basedOn w:val="15"/>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网格型3"/>
    <w:basedOn w:val="15"/>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网格型4"/>
    <w:basedOn w:val="15"/>
    <w:autoRedefine/>
    <w:qFormat/>
    <w:uiPriority w:val="59"/>
    <w:rPr>
      <w:rFonts w:ascii="Calibri" w:hAnsi="Calibri" w:cs="Arial"/>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网格型5"/>
    <w:basedOn w:val="15"/>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网格型6"/>
    <w:basedOn w:val="15"/>
    <w:autoRedefine/>
    <w:qFormat/>
    <w:uiPriority w:val="59"/>
    <w:rPr>
      <w:rFonts w:ascii="Calibri" w:hAnsi="Calibri" w:cs="Arial"/>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网格型7"/>
    <w:basedOn w:val="15"/>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网格型8"/>
    <w:basedOn w:val="15"/>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型9"/>
    <w:basedOn w:val="15"/>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网格型10"/>
    <w:basedOn w:val="15"/>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网格型11"/>
    <w:basedOn w:val="15"/>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网格型12"/>
    <w:basedOn w:val="15"/>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13"/>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4"/>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List Paragraph"/>
    <w:basedOn w:val="1"/>
    <w:autoRedefine/>
    <w:unhideWhenUsed/>
    <w:qFormat/>
    <w:uiPriority w:val="99"/>
    <w:pPr>
      <w:ind w:firstLine="420" w:firstLineChars="200"/>
    </w:pPr>
  </w:style>
  <w:style w:type="character" w:customStyle="1" w:styleId="44">
    <w:name w:val="批注文字 字符"/>
    <w:basedOn w:val="17"/>
    <w:link w:val="5"/>
    <w:autoRedefine/>
    <w:qFormat/>
    <w:uiPriority w:val="0"/>
    <w:rPr>
      <w:kern w:val="2"/>
      <w:sz w:val="21"/>
      <w:szCs w:val="24"/>
    </w:rPr>
  </w:style>
  <w:style w:type="character" w:customStyle="1" w:styleId="45">
    <w:name w:val="批注主题 字符"/>
    <w:basedOn w:val="44"/>
    <w:link w:val="14"/>
    <w:autoRedefine/>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8DF8BD-9D15-440D-8346-9F5CE58F8C72}">
  <ds:schemaRefs/>
</ds:datastoreItem>
</file>

<file path=docProps/app.xml><?xml version="1.0" encoding="utf-8"?>
<Properties xmlns="http://schemas.openxmlformats.org/officeDocument/2006/extended-properties" xmlns:vt="http://schemas.openxmlformats.org/officeDocument/2006/docPropsVTypes">
  <Template>鲁教X字3个头</Template>
  <Pages>196</Pages>
  <Words>15387</Words>
  <Characters>87708</Characters>
  <Lines>730</Lines>
  <Paragraphs>205</Paragraphs>
  <TotalTime>6</TotalTime>
  <ScaleCrop>false</ScaleCrop>
  <LinksUpToDate>false</LinksUpToDate>
  <CharactersWithSpaces>102890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2023-08-29T00:31:00Z</dcterms:created>
  <dc:creator>文印1</dc:creator>
  <cp:lastModifiedBy>肖丙凯</cp:lastModifiedBy>
  <cp:lastPrinted>2023-09-04T02:29:00Z</cp:lastPrinted>
  <dcterms:modified xsi:type="dcterms:W3CDTF">2024-03-19T12:41:50Z</dcterms:modified>
  <dc:title>000001</dc:title>
  <cp:revision>904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010271774F7D4B36A4DFF25577F4F8BA_13</vt:lpwstr>
  </property>
</Properties>
</file>